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2BAFC" w14:textId="21BDE68B" w:rsidR="004C48BF" w:rsidRDefault="004C48BF" w:rsidP="004C48BF">
      <w:pPr>
        <w:widowControl w:val="0"/>
        <w:tabs>
          <w:tab w:val="right" w:pos="9639"/>
        </w:tabs>
        <w:spacing w:after="0"/>
        <w:rPr>
          <w:rFonts w:asciiTheme="minorHAnsi" w:hAnsiTheme="minorHAnsi" w:cstheme="minorHAnsi"/>
          <w:b/>
          <w:bCs/>
          <w:color w:val="000000"/>
          <w:sz w:val="22"/>
          <w:szCs w:val="22"/>
        </w:rPr>
      </w:pPr>
      <w:r>
        <w:rPr>
          <w:rFonts w:asciiTheme="minorHAnsi" w:eastAsia="Times New Roman" w:hAnsiTheme="minorHAnsi" w:cstheme="minorHAnsi"/>
          <w:b/>
          <w:bCs/>
          <w:sz w:val="22"/>
          <w:szCs w:val="22"/>
        </w:rPr>
        <w:t>3GPP T</w:t>
      </w:r>
      <w:bookmarkStart w:id="0" w:name="_Ref452454252"/>
      <w:bookmarkEnd w:id="0"/>
      <w:r>
        <w:rPr>
          <w:rFonts w:asciiTheme="minorHAnsi" w:eastAsia="Times New Roman" w:hAnsiTheme="minorHAnsi" w:cstheme="minorHAnsi"/>
          <w:b/>
          <w:bCs/>
          <w:sz w:val="22"/>
          <w:szCs w:val="22"/>
        </w:rPr>
        <w:t xml:space="preserve">SG-RAN </w:t>
      </w:r>
      <w:r>
        <w:rPr>
          <w:rFonts w:asciiTheme="minorHAnsi" w:eastAsia="Times New Roman" w:hAnsiTheme="minorHAnsi" w:cstheme="minorHAnsi"/>
          <w:b/>
          <w:sz w:val="22"/>
          <w:szCs w:val="22"/>
        </w:rPr>
        <w:t xml:space="preserve">WG3 Meeting #120                                                      </w:t>
      </w:r>
      <w:r>
        <w:rPr>
          <w:rFonts w:asciiTheme="minorHAnsi" w:eastAsia="Times New Roman" w:hAnsiTheme="minorHAnsi" w:cstheme="minorHAnsi"/>
          <w:b/>
          <w:sz w:val="22"/>
          <w:szCs w:val="22"/>
        </w:rPr>
        <w:tab/>
      </w:r>
      <w:r>
        <w:rPr>
          <w:rFonts w:asciiTheme="minorHAnsi" w:hAnsiTheme="minorHAnsi" w:cstheme="minorHAnsi"/>
          <w:b/>
          <w:bCs/>
          <w:color w:val="000000"/>
          <w:sz w:val="22"/>
          <w:szCs w:val="22"/>
        </w:rPr>
        <w:t>R3-23</w:t>
      </w:r>
      <w:r w:rsidR="00FA3A06">
        <w:rPr>
          <w:rFonts w:asciiTheme="minorHAnsi" w:hAnsiTheme="minorHAnsi" w:cstheme="minorHAnsi"/>
          <w:b/>
          <w:bCs/>
          <w:color w:val="000000"/>
          <w:sz w:val="22"/>
          <w:szCs w:val="22"/>
        </w:rPr>
        <w:t>2852</w:t>
      </w:r>
    </w:p>
    <w:p w14:paraId="43CC269F" w14:textId="77777777" w:rsidR="004C48BF" w:rsidRDefault="004C48BF" w:rsidP="004C48BF">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Incheon, May 22</w:t>
      </w:r>
      <w:r>
        <w:rPr>
          <w:rFonts w:asciiTheme="minorHAnsi" w:hAnsiTheme="minorHAnsi" w:cstheme="minorHAnsi"/>
          <w:b/>
          <w:sz w:val="22"/>
          <w:szCs w:val="22"/>
          <w:vertAlign w:val="superscript"/>
          <w:lang w:eastAsia="zh-CN"/>
        </w:rPr>
        <w:t>nd</w:t>
      </w:r>
      <w:r>
        <w:rPr>
          <w:rFonts w:asciiTheme="minorHAnsi" w:hAnsiTheme="minorHAnsi" w:cstheme="minorHAnsi"/>
          <w:b/>
          <w:sz w:val="22"/>
          <w:szCs w:val="22"/>
          <w:lang w:eastAsia="zh-CN"/>
        </w:rPr>
        <w:t xml:space="preserve"> – May 26</w:t>
      </w:r>
      <w:r>
        <w:rPr>
          <w:rFonts w:asciiTheme="minorHAnsi" w:hAnsiTheme="minorHAnsi" w:cstheme="minorHAnsi"/>
          <w:b/>
          <w:sz w:val="22"/>
          <w:szCs w:val="22"/>
          <w:vertAlign w:val="superscript"/>
          <w:lang w:eastAsia="zh-CN"/>
        </w:rPr>
        <w:t>th</w:t>
      </w:r>
      <w:r>
        <w:rPr>
          <w:rFonts w:asciiTheme="minorHAnsi" w:hAnsiTheme="minorHAnsi" w:cstheme="minorHAnsi"/>
          <w:b/>
          <w:sz w:val="22"/>
          <w:szCs w:val="22"/>
          <w:lang w:eastAsia="zh-CN"/>
        </w:rPr>
        <w:t>, 2023</w:t>
      </w:r>
      <w:r>
        <w:rPr>
          <w:rFonts w:asciiTheme="minorHAnsi" w:hAnsiTheme="minorHAnsi" w:cstheme="minorHAnsi"/>
          <w:b/>
          <w:bCs/>
          <w:color w:val="000000"/>
          <w:sz w:val="22"/>
          <w:szCs w:val="22"/>
        </w:rPr>
        <w:t xml:space="preserve">                                 </w:t>
      </w:r>
    </w:p>
    <w:p w14:paraId="326A5EDE" w14:textId="69A1C7B0" w:rsidR="00185DC9" w:rsidRPr="005B0A93" w:rsidRDefault="002A3074" w:rsidP="002A3074">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00185DC9" w:rsidRPr="005B0A93">
        <w:rPr>
          <w:rFonts w:asciiTheme="minorHAnsi" w:hAnsiTheme="minorHAnsi" w:cstheme="minorHAnsi"/>
          <w:b/>
          <w:sz w:val="22"/>
          <w:szCs w:val="22"/>
          <w:lang w:eastAsia="zh-CN"/>
        </w:rPr>
        <w:t xml:space="preserve"> </w:t>
      </w:r>
    </w:p>
    <w:p w14:paraId="35C647C9" w14:textId="29B9A025" w:rsidR="00185DC9" w:rsidRPr="005B0A93" w:rsidRDefault="00185DC9" w:rsidP="00185DC9">
      <w:pPr>
        <w:tabs>
          <w:tab w:val="left" w:pos="1985"/>
        </w:tabs>
        <w:spacing w:after="120"/>
        <w:rPr>
          <w:rFonts w:asciiTheme="minorHAnsi" w:eastAsia="MS Mincho" w:hAnsiTheme="minorHAnsi" w:cstheme="minorHAnsi"/>
          <w:b/>
          <w:bCs/>
          <w:sz w:val="22"/>
          <w:szCs w:val="22"/>
        </w:rPr>
      </w:pPr>
      <w:r w:rsidRPr="005B0A93">
        <w:rPr>
          <w:rFonts w:asciiTheme="minorHAnsi" w:eastAsia="MS Mincho" w:hAnsiTheme="minorHAnsi" w:cstheme="minorHAnsi"/>
          <w:b/>
          <w:bCs/>
          <w:sz w:val="22"/>
          <w:szCs w:val="22"/>
        </w:rPr>
        <w:t>Agenda item:</w:t>
      </w:r>
      <w:r w:rsidRPr="005B0A93">
        <w:rPr>
          <w:rFonts w:asciiTheme="minorHAnsi" w:eastAsia="MS Mincho" w:hAnsiTheme="minorHAnsi" w:cstheme="minorHAnsi"/>
          <w:b/>
          <w:bCs/>
          <w:sz w:val="22"/>
          <w:szCs w:val="22"/>
        </w:rPr>
        <w:tab/>
      </w:r>
      <w:r w:rsidR="00FC2127" w:rsidRPr="005B0A93">
        <w:rPr>
          <w:rFonts w:asciiTheme="minorHAnsi" w:eastAsia="MS Mincho" w:hAnsiTheme="minorHAnsi" w:cstheme="minorHAnsi"/>
          <w:b/>
          <w:bCs/>
          <w:sz w:val="22"/>
          <w:szCs w:val="22"/>
        </w:rPr>
        <w:t>1</w:t>
      </w:r>
      <w:r w:rsidR="00080B74" w:rsidRPr="005B0A93">
        <w:rPr>
          <w:rFonts w:asciiTheme="minorHAnsi" w:eastAsia="MS Mincho" w:hAnsiTheme="minorHAnsi" w:cstheme="minorHAnsi"/>
          <w:b/>
          <w:bCs/>
          <w:sz w:val="22"/>
          <w:szCs w:val="22"/>
        </w:rPr>
        <w:t>1.4</w:t>
      </w:r>
    </w:p>
    <w:p w14:paraId="12BCBB65" w14:textId="0B22CBC6" w:rsidR="00185DC9" w:rsidRPr="005B0A93" w:rsidRDefault="00185DC9" w:rsidP="00185DC9">
      <w:pPr>
        <w:tabs>
          <w:tab w:val="left" w:pos="1985"/>
        </w:tabs>
        <w:ind w:left="1985" w:hanging="1985"/>
        <w:rPr>
          <w:rFonts w:asciiTheme="minorHAnsi" w:eastAsia="Times New Roman" w:hAnsiTheme="minorHAnsi" w:cstheme="minorHAnsi"/>
          <w:b/>
          <w:bCs/>
          <w:sz w:val="22"/>
          <w:szCs w:val="22"/>
        </w:rPr>
      </w:pPr>
      <w:r w:rsidRPr="005B0A93">
        <w:rPr>
          <w:rFonts w:asciiTheme="minorHAnsi" w:eastAsia="Times New Roman" w:hAnsiTheme="minorHAnsi" w:cstheme="minorHAnsi"/>
          <w:b/>
          <w:bCs/>
          <w:sz w:val="22"/>
          <w:szCs w:val="22"/>
        </w:rPr>
        <w:t>Source:</w:t>
      </w:r>
      <w:r w:rsidRPr="005B0A93">
        <w:rPr>
          <w:rFonts w:asciiTheme="minorHAnsi" w:eastAsia="Times New Roman" w:hAnsiTheme="minorHAnsi" w:cstheme="minorHAnsi"/>
          <w:b/>
          <w:bCs/>
          <w:sz w:val="22"/>
          <w:szCs w:val="22"/>
        </w:rPr>
        <w:tab/>
        <w:t>Qualcomm Inc</w:t>
      </w:r>
      <w:r w:rsidR="006B2193" w:rsidRPr="005B0A93">
        <w:rPr>
          <w:rFonts w:asciiTheme="minorHAnsi" w:eastAsia="Times New Roman" w:hAnsiTheme="minorHAnsi" w:cstheme="minorHAnsi"/>
          <w:b/>
          <w:bCs/>
          <w:sz w:val="22"/>
          <w:szCs w:val="22"/>
        </w:rPr>
        <w:t>orporated</w:t>
      </w:r>
    </w:p>
    <w:p w14:paraId="6D6DCF35" w14:textId="1B45C58E" w:rsidR="00185DC9" w:rsidRPr="005B0A93" w:rsidRDefault="00185DC9" w:rsidP="00185DC9">
      <w:pPr>
        <w:ind w:left="1985" w:hanging="1985"/>
        <w:rPr>
          <w:rFonts w:asciiTheme="minorHAnsi" w:eastAsia="Times New Roman" w:hAnsiTheme="minorHAnsi" w:cstheme="minorHAnsi"/>
          <w:b/>
          <w:bCs/>
          <w:sz w:val="22"/>
          <w:szCs w:val="22"/>
        </w:rPr>
      </w:pPr>
      <w:r w:rsidRPr="005B0A93">
        <w:rPr>
          <w:rFonts w:asciiTheme="minorHAnsi" w:eastAsia="Times New Roman" w:hAnsiTheme="minorHAnsi" w:cstheme="minorHAnsi"/>
          <w:b/>
          <w:bCs/>
          <w:sz w:val="22"/>
          <w:szCs w:val="22"/>
        </w:rPr>
        <w:t>Title:</w:t>
      </w:r>
      <w:r w:rsidRPr="005B0A93">
        <w:rPr>
          <w:rFonts w:asciiTheme="minorHAnsi" w:eastAsia="Times New Roman" w:hAnsiTheme="minorHAnsi" w:cstheme="minorHAnsi"/>
          <w:b/>
          <w:bCs/>
          <w:sz w:val="22"/>
          <w:szCs w:val="22"/>
        </w:rPr>
        <w:tab/>
      </w:r>
      <w:r w:rsidR="007E2ABA">
        <w:rPr>
          <w:rFonts w:asciiTheme="minorHAnsi" w:eastAsia="Times New Roman" w:hAnsiTheme="minorHAnsi" w:cstheme="minorHAnsi"/>
          <w:b/>
          <w:bCs/>
          <w:sz w:val="22"/>
          <w:szCs w:val="22"/>
        </w:rPr>
        <w:t>Other open topics related to QoE</w:t>
      </w:r>
    </w:p>
    <w:p w14:paraId="28B302F7" w14:textId="77777777" w:rsidR="00185DC9" w:rsidRPr="005B0A93" w:rsidRDefault="00185DC9" w:rsidP="00185DC9">
      <w:pPr>
        <w:ind w:left="1985" w:hanging="1985"/>
        <w:rPr>
          <w:rFonts w:asciiTheme="minorHAnsi" w:eastAsia="Times New Roman" w:hAnsiTheme="minorHAnsi" w:cstheme="minorHAnsi"/>
          <w:b/>
          <w:bCs/>
          <w:sz w:val="22"/>
          <w:szCs w:val="22"/>
        </w:rPr>
      </w:pPr>
      <w:r w:rsidRPr="005B0A93">
        <w:rPr>
          <w:rFonts w:asciiTheme="minorHAnsi" w:eastAsia="Times New Roman" w:hAnsiTheme="minorHAnsi" w:cstheme="minorHAnsi"/>
          <w:b/>
          <w:bCs/>
          <w:sz w:val="22"/>
          <w:szCs w:val="22"/>
        </w:rPr>
        <w:t>Document for:</w:t>
      </w:r>
      <w:r w:rsidRPr="005B0A93">
        <w:rPr>
          <w:rFonts w:asciiTheme="minorHAnsi" w:eastAsia="Times New Roman" w:hAnsiTheme="minorHAnsi" w:cstheme="minorHAnsi"/>
          <w:b/>
          <w:bCs/>
          <w:sz w:val="22"/>
          <w:szCs w:val="22"/>
        </w:rPr>
        <w:tab/>
        <w:t>Discussion and Decision</w:t>
      </w:r>
    </w:p>
    <w:p w14:paraId="768587FB" w14:textId="77777777" w:rsidR="00185DC9" w:rsidRPr="00EF3F1B" w:rsidRDefault="00185DC9" w:rsidP="00185DC9">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7F950AD3" w14:textId="2D9FF7A9" w:rsidR="001825CB" w:rsidRDefault="005F4EB6" w:rsidP="00185DC9">
      <w:pPr>
        <w:contextualSpacing/>
        <w:rPr>
          <w:rFonts w:asciiTheme="minorHAnsi" w:hAnsiTheme="minorHAnsi" w:cstheme="minorHAnsi"/>
          <w:iCs/>
          <w:sz w:val="22"/>
          <w:szCs w:val="22"/>
        </w:rPr>
      </w:pPr>
      <w:r w:rsidRPr="005F4EB6">
        <w:rPr>
          <w:rFonts w:asciiTheme="minorHAnsi" w:hAnsiTheme="minorHAnsi" w:cstheme="minorHAnsi"/>
          <w:iCs/>
          <w:sz w:val="22"/>
          <w:szCs w:val="22"/>
        </w:rPr>
        <w:t xml:space="preserve">In this paper, we continue the discussion on </w:t>
      </w:r>
      <w:r w:rsidR="007E2ABA">
        <w:rPr>
          <w:rFonts w:asciiTheme="minorHAnsi" w:hAnsiTheme="minorHAnsi" w:cstheme="minorHAnsi"/>
          <w:iCs/>
          <w:sz w:val="22"/>
          <w:szCs w:val="22"/>
        </w:rPr>
        <w:t xml:space="preserve">other </w:t>
      </w:r>
      <w:r w:rsidR="00B23F9A">
        <w:rPr>
          <w:rFonts w:asciiTheme="minorHAnsi" w:hAnsiTheme="minorHAnsi" w:cstheme="minorHAnsi"/>
          <w:iCs/>
          <w:sz w:val="22"/>
          <w:szCs w:val="22"/>
        </w:rPr>
        <w:t xml:space="preserve">open </w:t>
      </w:r>
      <w:r w:rsidR="007E2ABA">
        <w:rPr>
          <w:rFonts w:asciiTheme="minorHAnsi" w:hAnsiTheme="minorHAnsi" w:cstheme="minorHAnsi"/>
          <w:iCs/>
          <w:sz w:val="22"/>
          <w:szCs w:val="22"/>
        </w:rPr>
        <w:t xml:space="preserve">topics </w:t>
      </w:r>
      <w:r w:rsidR="00B23F9A">
        <w:rPr>
          <w:rFonts w:asciiTheme="minorHAnsi" w:hAnsiTheme="minorHAnsi" w:cstheme="minorHAnsi"/>
          <w:iCs/>
          <w:sz w:val="22"/>
          <w:szCs w:val="22"/>
        </w:rPr>
        <w:t>related to QoE</w:t>
      </w:r>
      <w:r>
        <w:rPr>
          <w:rFonts w:asciiTheme="minorHAnsi" w:hAnsiTheme="minorHAnsi" w:cstheme="minorHAnsi"/>
          <w:iCs/>
          <w:sz w:val="22"/>
          <w:szCs w:val="22"/>
        </w:rPr>
        <w:t xml:space="preserve"> based on open issues identified last meeting.</w:t>
      </w:r>
    </w:p>
    <w:p w14:paraId="76237A84" w14:textId="51624E52" w:rsidR="005042BC" w:rsidRPr="00EF3F1B"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08816C2F" w14:textId="15B27E76" w:rsidR="00F4634D" w:rsidRDefault="00E013FB" w:rsidP="00F4634D">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E013FB">
        <w:rPr>
          <w:rFonts w:ascii="Calibri" w:eastAsia="Times New Roman" w:hAnsi="Calibri" w:cs="Calibri"/>
          <w:sz w:val="22"/>
          <w:szCs w:val="22"/>
          <w:lang w:val="en-US"/>
        </w:rPr>
        <w:t> </w:t>
      </w:r>
      <w:r w:rsidR="00164C8C">
        <w:rPr>
          <w:rFonts w:asciiTheme="minorHAnsi" w:eastAsia="MS Mincho" w:hAnsiTheme="minorHAnsi" w:cstheme="minorHAnsi"/>
          <w:iCs/>
          <w:sz w:val="28"/>
          <w:lang w:eastAsia="ja-JP"/>
        </w:rPr>
        <w:t>Threshold-based</w:t>
      </w:r>
      <w:r>
        <w:rPr>
          <w:rFonts w:asciiTheme="minorHAnsi" w:eastAsia="MS Mincho" w:hAnsiTheme="minorHAnsi" w:cstheme="minorHAnsi"/>
          <w:iCs/>
          <w:sz w:val="28"/>
          <w:lang w:eastAsia="ja-JP"/>
        </w:rPr>
        <w:t xml:space="preserve"> triggers for RAN visible QoE</w:t>
      </w:r>
    </w:p>
    <w:p w14:paraId="4BE5B21A" w14:textId="227567EE" w:rsidR="00F4634D" w:rsidRDefault="00F4634D" w:rsidP="00F4634D">
      <w:pPr>
        <w:spacing w:after="0"/>
        <w:rPr>
          <w:rFonts w:ascii="Calibri" w:eastAsia="Times New Roman" w:hAnsi="Calibri" w:cs="Calibri"/>
          <w:sz w:val="22"/>
          <w:szCs w:val="22"/>
          <w:lang w:val="en-US"/>
        </w:rPr>
      </w:pPr>
      <w:r w:rsidRPr="00F4634D">
        <w:rPr>
          <w:rFonts w:ascii="Calibri" w:eastAsia="Times New Roman" w:hAnsi="Calibri" w:cs="Calibri"/>
          <w:sz w:val="22"/>
          <w:szCs w:val="22"/>
          <w:lang w:val="en-US"/>
        </w:rPr>
        <w:t>RAN3 made the following agreements</w:t>
      </w:r>
      <w:r>
        <w:rPr>
          <w:rFonts w:ascii="Calibri" w:eastAsia="Times New Roman" w:hAnsi="Calibri" w:cs="Calibri"/>
          <w:sz w:val="22"/>
          <w:szCs w:val="22"/>
          <w:lang w:val="en-US"/>
        </w:rPr>
        <w:t>:</w:t>
      </w:r>
    </w:p>
    <w:p w14:paraId="40F9CC22" w14:textId="77777777" w:rsidR="00F4634D" w:rsidRPr="00F4634D" w:rsidRDefault="00F4634D" w:rsidP="00F4634D">
      <w:pPr>
        <w:spacing w:after="0"/>
        <w:rPr>
          <w:rFonts w:ascii="Calibri" w:eastAsia="Times New Roman" w:hAnsi="Calibri" w:cs="Calibri"/>
          <w:sz w:val="22"/>
          <w:szCs w:val="22"/>
          <w:lang w:val="en-US"/>
        </w:rPr>
      </w:pPr>
    </w:p>
    <w:p w14:paraId="5C3DD3FA" w14:textId="77777777" w:rsidR="00707EB1" w:rsidRPr="00707EB1" w:rsidRDefault="00707EB1" w:rsidP="007A19BB">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707EB1">
        <w:rPr>
          <w:rFonts w:ascii="Calibri" w:eastAsia="Times New Roman" w:hAnsi="Calibri" w:cs="Calibri"/>
          <w:color w:val="00B050"/>
          <w:sz w:val="22"/>
          <w:szCs w:val="22"/>
          <w:lang w:val="en-US"/>
        </w:rPr>
        <w:t>If a UE is configured with periodic RVQoE reporting that automatically starts at the beginning of the application session or immediately upon reception of RVQoE configuration, it cannot be configured with a threshold-based trigger at the same time</w:t>
      </w:r>
    </w:p>
    <w:p w14:paraId="608E0EA0" w14:textId="77777777" w:rsidR="00707EB1" w:rsidRPr="00707EB1" w:rsidRDefault="00707EB1" w:rsidP="007A19BB">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4AF9FCFB" w14:textId="77777777" w:rsidR="00707EB1" w:rsidRDefault="00707EB1" w:rsidP="007A19BB">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707EB1">
        <w:rPr>
          <w:rFonts w:ascii="Calibri" w:eastAsia="Times New Roman" w:hAnsi="Calibri" w:cs="Calibri"/>
          <w:color w:val="00B050"/>
          <w:sz w:val="22"/>
          <w:szCs w:val="22"/>
          <w:lang w:val="en-US"/>
        </w:rPr>
        <w:t>Discuss whether threshold-based buffer level reporting starts: i) when buffer level is greater than a threshold or ii) when buffer level is below a threshold or iii) when buffer level is between two thresholds.</w:t>
      </w:r>
    </w:p>
    <w:p w14:paraId="175091B9" w14:textId="77777777" w:rsidR="007A19BB" w:rsidRDefault="007A19BB" w:rsidP="007A19BB">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4D72781C" w14:textId="77777777" w:rsidR="007A19BB" w:rsidRPr="00707EB1" w:rsidRDefault="007A19BB" w:rsidP="007A19BB">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707EB1">
        <w:rPr>
          <w:rFonts w:ascii="Calibri" w:eastAsia="Times New Roman" w:hAnsi="Calibri" w:cs="Calibri"/>
          <w:color w:val="0070C0"/>
          <w:sz w:val="22"/>
          <w:szCs w:val="22"/>
          <w:lang w:val="en-US"/>
        </w:rPr>
        <w:t>FFS whether to introduce TTT (time to trigger) for threshold-based triggers.</w:t>
      </w:r>
    </w:p>
    <w:p w14:paraId="006C151C" w14:textId="77777777" w:rsidR="007A19BB" w:rsidRDefault="007A19BB" w:rsidP="00707EB1">
      <w:pPr>
        <w:spacing w:after="0"/>
        <w:rPr>
          <w:rFonts w:ascii="Calibri" w:eastAsia="Times New Roman" w:hAnsi="Calibri" w:cs="Calibri"/>
          <w:color w:val="00B050"/>
          <w:sz w:val="22"/>
          <w:szCs w:val="22"/>
          <w:lang w:val="en-US"/>
        </w:rPr>
      </w:pPr>
    </w:p>
    <w:p w14:paraId="6A50E79A" w14:textId="7682148F" w:rsidR="00D77B2B" w:rsidRPr="00D77B2B" w:rsidRDefault="00D77B2B" w:rsidP="00707EB1">
      <w:pPr>
        <w:spacing w:after="0"/>
        <w:rPr>
          <w:rFonts w:ascii="Calibri" w:eastAsia="Times New Roman" w:hAnsi="Calibri" w:cs="Calibri"/>
          <w:sz w:val="22"/>
          <w:szCs w:val="22"/>
          <w:lang w:val="en-US"/>
        </w:rPr>
      </w:pPr>
      <w:r w:rsidRPr="00D77B2B">
        <w:rPr>
          <w:rFonts w:ascii="Calibri" w:eastAsia="Times New Roman" w:hAnsi="Calibri" w:cs="Calibri"/>
          <w:sz w:val="22"/>
          <w:szCs w:val="22"/>
          <w:lang w:val="en-US"/>
        </w:rPr>
        <w:t xml:space="preserve">This is the definition </w:t>
      </w:r>
      <w:r w:rsidR="001E6218">
        <w:rPr>
          <w:rFonts w:ascii="Calibri" w:eastAsia="Times New Roman" w:hAnsi="Calibri" w:cs="Calibri"/>
          <w:sz w:val="22"/>
          <w:szCs w:val="22"/>
          <w:lang w:val="en-US"/>
        </w:rPr>
        <w:t xml:space="preserve">of some relevant IEs </w:t>
      </w:r>
      <w:r w:rsidRPr="00D77B2B">
        <w:rPr>
          <w:rFonts w:ascii="Calibri" w:eastAsia="Times New Roman" w:hAnsi="Calibri" w:cs="Calibri"/>
          <w:sz w:val="22"/>
          <w:szCs w:val="22"/>
          <w:lang w:val="en-US"/>
        </w:rPr>
        <w:t>as per TS 38.331:</w:t>
      </w:r>
    </w:p>
    <w:p w14:paraId="0170452D" w14:textId="77777777" w:rsidR="00D77B2B" w:rsidRDefault="00D77B2B" w:rsidP="00707EB1">
      <w:pPr>
        <w:spacing w:after="0"/>
        <w:rPr>
          <w:rFonts w:ascii="Calibri" w:eastAsia="Times New Roman" w:hAnsi="Calibri" w:cs="Calibri"/>
          <w:color w:val="00B050"/>
          <w:sz w:val="22"/>
          <w:szCs w:val="22"/>
          <w:lang w:val="en-US"/>
        </w:rPr>
      </w:pPr>
    </w:p>
    <w:p w14:paraId="00FBD9BA" w14:textId="77777777" w:rsidR="00D77B2B" w:rsidRPr="00D77B2B" w:rsidRDefault="00D77B2B" w:rsidP="00D77B2B">
      <w:pPr>
        <w:spacing w:after="0"/>
        <w:rPr>
          <w:rFonts w:ascii="Arial" w:eastAsia="Times New Roman" w:hAnsi="Arial" w:cs="Arial"/>
          <w:color w:val="000000"/>
          <w:sz w:val="18"/>
          <w:szCs w:val="18"/>
          <w:lang w:val="en-US"/>
        </w:rPr>
      </w:pPr>
      <w:r w:rsidRPr="00D77B2B">
        <w:rPr>
          <w:rFonts w:ascii="Arial" w:eastAsia="Times New Roman" w:hAnsi="Arial" w:cs="Arial"/>
          <w:b/>
          <w:bCs/>
          <w:i/>
          <w:iCs/>
          <w:color w:val="000000"/>
          <w:sz w:val="18"/>
          <w:szCs w:val="18"/>
        </w:rPr>
        <w:t>appLayerBufferLevelList</w:t>
      </w:r>
    </w:p>
    <w:p w14:paraId="58DC6F8A" w14:textId="77777777" w:rsidR="00D77B2B" w:rsidRPr="00D77B2B" w:rsidRDefault="00D77B2B" w:rsidP="00D77B2B">
      <w:pPr>
        <w:spacing w:after="0"/>
        <w:rPr>
          <w:rFonts w:ascii="Arial" w:eastAsia="Times New Roman" w:hAnsi="Arial" w:cs="Arial"/>
          <w:color w:val="000000"/>
          <w:sz w:val="18"/>
          <w:szCs w:val="18"/>
          <w:lang w:val="en-US"/>
        </w:rPr>
      </w:pPr>
      <w:r w:rsidRPr="00D77B2B">
        <w:rPr>
          <w:rFonts w:ascii="Arial" w:eastAsia="Times New Roman" w:hAnsi="Arial" w:cs="Arial"/>
          <w:color w:val="000000"/>
          <w:sz w:val="18"/>
          <w:szCs w:val="18"/>
        </w:rPr>
        <w:t>The field indicates a list of application layer buffer levels, and each </w:t>
      </w:r>
      <w:r w:rsidRPr="00D77B2B">
        <w:rPr>
          <w:rFonts w:ascii="Arial" w:eastAsia="Times New Roman" w:hAnsi="Arial" w:cs="Arial"/>
          <w:i/>
          <w:iCs/>
          <w:color w:val="000000"/>
          <w:sz w:val="18"/>
          <w:szCs w:val="18"/>
        </w:rPr>
        <w:t>AppLayerBufferLevel</w:t>
      </w:r>
      <w:r w:rsidRPr="00D77B2B">
        <w:rPr>
          <w:rFonts w:ascii="Arial" w:eastAsia="Times New Roman" w:hAnsi="Arial" w:cs="Arial"/>
          <w:color w:val="000000"/>
          <w:sz w:val="18"/>
          <w:szCs w:val="18"/>
        </w:rPr>
        <w:t> indicates the application layer buffer level in ms. Value 0 corresponds to 0ms, value 1 corresponds to 10ms, value 2 corresponds to 20 ms and so on. If the buffer level is larger than the maximum value of 30000 (5 minutes), the UE reports 30000.</w:t>
      </w:r>
    </w:p>
    <w:p w14:paraId="1AA82E66" w14:textId="77777777" w:rsidR="005D1B31" w:rsidRDefault="005D1B31" w:rsidP="00707EB1">
      <w:pPr>
        <w:spacing w:after="0"/>
        <w:rPr>
          <w:rFonts w:ascii="Calibri" w:eastAsia="Times New Roman" w:hAnsi="Calibri" w:cs="Calibri"/>
          <w:color w:val="00B050"/>
          <w:sz w:val="22"/>
          <w:szCs w:val="22"/>
          <w:lang w:val="en-US"/>
        </w:rPr>
      </w:pPr>
    </w:p>
    <w:p w14:paraId="565F8776" w14:textId="77777777" w:rsidR="00D85B9B" w:rsidRPr="00D85B9B" w:rsidRDefault="00D85B9B" w:rsidP="00D85B9B">
      <w:pPr>
        <w:spacing w:after="0"/>
        <w:rPr>
          <w:rFonts w:ascii="Arial" w:eastAsia="Times New Roman" w:hAnsi="Arial" w:cs="Arial"/>
          <w:color w:val="000000"/>
          <w:sz w:val="18"/>
          <w:szCs w:val="18"/>
          <w:lang w:val="en-US"/>
        </w:rPr>
      </w:pPr>
      <w:r w:rsidRPr="00D85B9B">
        <w:rPr>
          <w:rFonts w:ascii="Arial" w:eastAsia="Times New Roman" w:hAnsi="Arial" w:cs="Arial"/>
          <w:b/>
          <w:bCs/>
          <w:i/>
          <w:iCs/>
          <w:color w:val="000000"/>
          <w:sz w:val="18"/>
          <w:szCs w:val="18"/>
        </w:rPr>
        <w:t>numberOfBufferLevelEntries</w:t>
      </w:r>
    </w:p>
    <w:p w14:paraId="29DCA76A" w14:textId="77777777" w:rsidR="00D85B9B" w:rsidRPr="00D85B9B" w:rsidRDefault="00D85B9B" w:rsidP="00D85B9B">
      <w:pPr>
        <w:spacing w:after="0"/>
        <w:rPr>
          <w:rFonts w:ascii="Arial" w:eastAsia="Times New Roman" w:hAnsi="Arial" w:cs="Arial"/>
          <w:color w:val="000000"/>
          <w:sz w:val="18"/>
          <w:szCs w:val="18"/>
          <w:lang w:val="en-US"/>
        </w:rPr>
      </w:pPr>
      <w:r w:rsidRPr="00D85B9B">
        <w:rPr>
          <w:rFonts w:ascii="Arial" w:eastAsia="Times New Roman" w:hAnsi="Arial" w:cs="Arial"/>
          <w:color w:val="000000"/>
          <w:sz w:val="18"/>
          <w:szCs w:val="18"/>
        </w:rPr>
        <w:t>The field contains the maximum number of buffer level entries that can be reported for RAN visible application layer measurements. This field is also used by application layer to calculate the interval of RAN visible buffer level measurement, which is equal to the periodicity of RAN visible application layer measurements reporting divided by </w:t>
      </w:r>
      <w:r w:rsidRPr="00D85B9B">
        <w:rPr>
          <w:rFonts w:ascii="Arial" w:eastAsia="Times New Roman" w:hAnsi="Arial" w:cs="Arial"/>
          <w:i/>
          <w:iCs/>
          <w:color w:val="000000"/>
          <w:sz w:val="18"/>
          <w:szCs w:val="18"/>
        </w:rPr>
        <w:t>numberOfBufferLevelEntries</w:t>
      </w:r>
      <w:r w:rsidRPr="00D85B9B">
        <w:rPr>
          <w:rFonts w:ascii="Arial" w:eastAsia="Times New Roman" w:hAnsi="Arial" w:cs="Arial"/>
          <w:color w:val="000000"/>
          <w:sz w:val="18"/>
          <w:szCs w:val="18"/>
        </w:rPr>
        <w:t>.</w:t>
      </w:r>
    </w:p>
    <w:p w14:paraId="217BD938" w14:textId="77777777" w:rsidR="00D85B9B" w:rsidRPr="00707EB1" w:rsidRDefault="00D85B9B" w:rsidP="00707EB1">
      <w:pPr>
        <w:spacing w:after="0"/>
        <w:rPr>
          <w:rFonts w:ascii="Calibri" w:eastAsia="Times New Roman" w:hAnsi="Calibri" w:cs="Calibri"/>
          <w:color w:val="00B050"/>
          <w:sz w:val="22"/>
          <w:szCs w:val="22"/>
          <w:lang w:val="en-US"/>
        </w:rPr>
      </w:pPr>
    </w:p>
    <w:p w14:paraId="0CE55095" w14:textId="3F3AC812" w:rsidR="0006742B" w:rsidRDefault="00111581" w:rsidP="00707EB1">
      <w:pPr>
        <w:spacing w:after="0"/>
        <w:rPr>
          <w:rFonts w:ascii="Calibri" w:eastAsia="Times New Roman" w:hAnsi="Calibri" w:cs="Calibri"/>
          <w:sz w:val="22"/>
          <w:szCs w:val="22"/>
          <w:lang w:val="en-US"/>
        </w:rPr>
      </w:pPr>
      <w:r>
        <w:rPr>
          <w:rFonts w:ascii="Calibri" w:eastAsia="Times New Roman" w:hAnsi="Calibri" w:cs="Calibri"/>
          <w:sz w:val="22"/>
          <w:szCs w:val="22"/>
          <w:lang w:val="en-US"/>
        </w:rPr>
        <w:t>The intention for introducing threshold-based triggers for RVQoE is to reduce Uu overhead and collect RVQoE only when “interesting” events happen.</w:t>
      </w:r>
      <w:r w:rsidR="007600D7">
        <w:rPr>
          <w:rFonts w:ascii="Calibri" w:eastAsia="Times New Roman" w:hAnsi="Calibri" w:cs="Calibri"/>
          <w:sz w:val="22"/>
          <w:szCs w:val="22"/>
          <w:lang w:val="en-US"/>
        </w:rPr>
        <w:t xml:space="preserve"> In </w:t>
      </w:r>
      <w:r w:rsidR="00D06601">
        <w:rPr>
          <w:rFonts w:ascii="Calibri" w:eastAsia="Times New Roman" w:hAnsi="Calibri" w:cs="Calibri"/>
          <w:sz w:val="22"/>
          <w:szCs w:val="22"/>
          <w:lang w:val="en-US"/>
        </w:rPr>
        <w:t xml:space="preserve">case of buffer level, it would be interesting for the gNB to know when the application layer buffer level is </w:t>
      </w:r>
      <w:r w:rsidR="008D1438">
        <w:rPr>
          <w:rFonts w:ascii="Calibri" w:eastAsia="Times New Roman" w:hAnsi="Calibri" w:cs="Calibri"/>
          <w:sz w:val="22"/>
          <w:szCs w:val="22"/>
          <w:lang w:val="en-US"/>
        </w:rPr>
        <w:t>small</w:t>
      </w:r>
      <w:r w:rsidR="009D5F0D">
        <w:rPr>
          <w:rFonts w:ascii="Calibri" w:eastAsia="Times New Roman" w:hAnsi="Calibri" w:cs="Calibri"/>
          <w:sz w:val="22"/>
          <w:szCs w:val="22"/>
          <w:lang w:val="en-US"/>
        </w:rPr>
        <w:t xml:space="preserve"> i.e., </w:t>
      </w:r>
      <w:r w:rsidR="004A5F15">
        <w:rPr>
          <w:rFonts w:ascii="Calibri" w:eastAsia="Times New Roman" w:hAnsi="Calibri" w:cs="Calibri"/>
          <w:sz w:val="22"/>
          <w:szCs w:val="22"/>
          <w:lang w:val="en-US"/>
        </w:rPr>
        <w:t xml:space="preserve">when </w:t>
      </w:r>
      <w:r w:rsidR="009D5F0D">
        <w:rPr>
          <w:rFonts w:ascii="Calibri" w:eastAsia="Times New Roman" w:hAnsi="Calibri" w:cs="Calibri"/>
          <w:sz w:val="22"/>
          <w:szCs w:val="22"/>
          <w:lang w:val="en-US"/>
        </w:rPr>
        <w:t xml:space="preserve">the remaining playout time for the media content </w:t>
      </w:r>
      <w:r w:rsidR="008D1438">
        <w:rPr>
          <w:rFonts w:ascii="Calibri" w:eastAsia="Times New Roman" w:hAnsi="Calibri" w:cs="Calibri"/>
          <w:sz w:val="22"/>
          <w:szCs w:val="22"/>
          <w:lang w:val="en-US"/>
        </w:rPr>
        <w:t>is small and if n</w:t>
      </w:r>
      <w:r w:rsidR="00D430CF">
        <w:rPr>
          <w:rFonts w:ascii="Calibri" w:eastAsia="Times New Roman" w:hAnsi="Calibri" w:cs="Calibri"/>
          <w:sz w:val="22"/>
          <w:szCs w:val="22"/>
          <w:lang w:val="en-US"/>
        </w:rPr>
        <w:t xml:space="preserve">o further media content is provided, the application will suffer in </w:t>
      </w:r>
      <w:r w:rsidR="00D430CF">
        <w:rPr>
          <w:rFonts w:ascii="Calibri" w:eastAsia="Times New Roman" w:hAnsi="Calibri" w:cs="Calibri"/>
          <w:sz w:val="22"/>
          <w:szCs w:val="22"/>
          <w:lang w:val="en-US"/>
        </w:rPr>
        <w:lastRenderedPageBreak/>
        <w:t>performance</w:t>
      </w:r>
      <w:r w:rsidR="009D5F0D">
        <w:rPr>
          <w:rFonts w:ascii="Calibri" w:eastAsia="Times New Roman" w:hAnsi="Calibri" w:cs="Calibri"/>
          <w:sz w:val="22"/>
          <w:szCs w:val="22"/>
          <w:lang w:val="en-US"/>
        </w:rPr>
        <w:t xml:space="preserve">. In such a case, the gNB can try to </w:t>
      </w:r>
      <w:r w:rsidR="00FB194D">
        <w:rPr>
          <w:rFonts w:ascii="Calibri" w:eastAsia="Times New Roman" w:hAnsi="Calibri" w:cs="Calibri"/>
          <w:sz w:val="22"/>
          <w:szCs w:val="22"/>
          <w:lang w:val="en-US"/>
        </w:rPr>
        <w:t>use that information</w:t>
      </w:r>
      <w:r w:rsidR="00C94101">
        <w:rPr>
          <w:rFonts w:ascii="Calibri" w:eastAsia="Times New Roman" w:hAnsi="Calibri" w:cs="Calibri"/>
          <w:sz w:val="22"/>
          <w:szCs w:val="22"/>
          <w:lang w:val="en-US"/>
        </w:rPr>
        <w:t xml:space="preserve"> and prioritize those bearers and provide DL grants to fill the application buffer.</w:t>
      </w:r>
    </w:p>
    <w:p w14:paraId="46F1FC3F" w14:textId="77777777" w:rsidR="0006742B" w:rsidRDefault="0006742B" w:rsidP="00707EB1">
      <w:pPr>
        <w:spacing w:after="0"/>
        <w:rPr>
          <w:rFonts w:ascii="Calibri" w:eastAsia="Times New Roman" w:hAnsi="Calibri" w:cs="Calibri"/>
          <w:sz w:val="22"/>
          <w:szCs w:val="22"/>
          <w:lang w:val="en-US"/>
        </w:rPr>
      </w:pPr>
    </w:p>
    <w:p w14:paraId="67C8A3C5" w14:textId="3DA93C14" w:rsidR="0095498F" w:rsidRDefault="0095498F" w:rsidP="00707EB1">
      <w:pPr>
        <w:spacing w:after="0"/>
        <w:rPr>
          <w:rFonts w:ascii="Calibri" w:eastAsia="Times New Roman" w:hAnsi="Calibri" w:cs="Calibri"/>
          <w:sz w:val="22"/>
          <w:szCs w:val="22"/>
          <w:lang w:val="en-US"/>
        </w:rPr>
      </w:pPr>
      <w:r w:rsidRPr="0095498F">
        <w:rPr>
          <w:rFonts w:ascii="Calibri" w:eastAsia="Times New Roman" w:hAnsi="Calibri" w:cs="Calibri"/>
          <w:b/>
          <w:bCs/>
          <w:sz w:val="22"/>
          <w:szCs w:val="22"/>
          <w:lang w:val="en-US"/>
        </w:rPr>
        <w:t>Observation</w:t>
      </w:r>
      <w:r w:rsidR="001E6218">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It would be interesting for the gNB to know when </w:t>
      </w:r>
      <w:r w:rsidRPr="0095498F">
        <w:rPr>
          <w:rFonts w:ascii="Calibri" w:eastAsia="Times New Roman" w:hAnsi="Calibri" w:cs="Calibri"/>
          <w:sz w:val="22"/>
          <w:szCs w:val="22"/>
          <w:lang w:val="en-US"/>
        </w:rPr>
        <w:t xml:space="preserve">the application layer buffer level is </w:t>
      </w:r>
      <w:r w:rsidR="00AF5F87">
        <w:rPr>
          <w:rFonts w:ascii="Calibri" w:eastAsia="Times New Roman" w:hAnsi="Calibri" w:cs="Calibri"/>
          <w:sz w:val="22"/>
          <w:szCs w:val="22"/>
          <w:lang w:val="en-US"/>
        </w:rPr>
        <w:t>sm</w:t>
      </w:r>
      <w:r w:rsidR="008D1438">
        <w:rPr>
          <w:rFonts w:ascii="Calibri" w:eastAsia="Times New Roman" w:hAnsi="Calibri" w:cs="Calibri"/>
          <w:sz w:val="22"/>
          <w:szCs w:val="22"/>
          <w:lang w:val="en-US"/>
        </w:rPr>
        <w:t>all</w:t>
      </w:r>
      <w:r>
        <w:rPr>
          <w:rFonts w:ascii="Calibri" w:eastAsia="Times New Roman" w:hAnsi="Calibri" w:cs="Calibri"/>
          <w:sz w:val="22"/>
          <w:szCs w:val="22"/>
          <w:lang w:val="en-US"/>
        </w:rPr>
        <w:t xml:space="preserve"> so that it can </w:t>
      </w:r>
      <w:r w:rsidR="00C94101">
        <w:rPr>
          <w:rFonts w:ascii="Calibri" w:eastAsia="Times New Roman" w:hAnsi="Calibri" w:cs="Calibri"/>
          <w:sz w:val="22"/>
          <w:szCs w:val="22"/>
          <w:lang w:val="en-US"/>
        </w:rPr>
        <w:t>prioritize those bearers</w:t>
      </w:r>
      <w:r w:rsidR="00C94101" w:rsidRPr="00C94101">
        <w:rPr>
          <w:rFonts w:ascii="Calibri" w:eastAsia="Times New Roman" w:hAnsi="Calibri" w:cs="Calibri"/>
          <w:sz w:val="22"/>
          <w:szCs w:val="22"/>
          <w:lang w:val="en-US"/>
        </w:rPr>
        <w:t xml:space="preserve"> and provide DL grants to fill the application buffe</w:t>
      </w:r>
      <w:r w:rsidR="000C7958">
        <w:rPr>
          <w:rFonts w:ascii="Calibri" w:eastAsia="Times New Roman" w:hAnsi="Calibri" w:cs="Calibri"/>
          <w:sz w:val="22"/>
          <w:szCs w:val="22"/>
          <w:lang w:val="en-US"/>
        </w:rPr>
        <w:t>r</w:t>
      </w:r>
      <w:r w:rsidR="00C94101" w:rsidRPr="00C94101">
        <w:rPr>
          <w:rFonts w:ascii="Calibri" w:eastAsia="Times New Roman" w:hAnsi="Calibri" w:cs="Calibri"/>
          <w:sz w:val="22"/>
          <w:szCs w:val="22"/>
          <w:lang w:val="en-US"/>
        </w:rPr>
        <w:t>.</w:t>
      </w:r>
    </w:p>
    <w:p w14:paraId="1AD21C2F" w14:textId="77777777" w:rsidR="0095498F" w:rsidRDefault="0095498F" w:rsidP="00707EB1">
      <w:pPr>
        <w:spacing w:after="0"/>
        <w:rPr>
          <w:rFonts w:ascii="Calibri" w:eastAsia="Times New Roman" w:hAnsi="Calibri" w:cs="Calibri"/>
          <w:sz w:val="22"/>
          <w:szCs w:val="22"/>
          <w:lang w:val="en-US"/>
        </w:rPr>
      </w:pPr>
    </w:p>
    <w:p w14:paraId="41369265" w14:textId="332CB0CE" w:rsidR="00552431" w:rsidRPr="00552431" w:rsidRDefault="00552431" w:rsidP="00552431">
      <w:pPr>
        <w:rPr>
          <w:rFonts w:ascii="Calibri" w:eastAsia="Times New Roman" w:hAnsi="Calibri" w:cs="Calibri"/>
          <w:sz w:val="22"/>
          <w:szCs w:val="22"/>
          <w:lang w:val="en-US"/>
        </w:rPr>
      </w:pPr>
      <w:r w:rsidRPr="00552431">
        <w:rPr>
          <w:rFonts w:ascii="Calibri" w:eastAsia="Times New Roman" w:hAnsi="Calibri" w:cs="Calibri"/>
          <w:sz w:val="22"/>
          <w:szCs w:val="22"/>
          <w:lang w:val="en-US"/>
        </w:rPr>
        <w:t xml:space="preserve">In addition to the threshold, we think </w:t>
      </w:r>
      <w:r w:rsidR="00D13BE0">
        <w:rPr>
          <w:rFonts w:ascii="Calibri" w:eastAsia="Times New Roman" w:hAnsi="Calibri" w:cs="Calibri"/>
          <w:sz w:val="22"/>
          <w:szCs w:val="22"/>
          <w:lang w:val="en-US"/>
        </w:rPr>
        <w:t>gNB should also be able to configure</w:t>
      </w:r>
      <w:r w:rsidRPr="00552431">
        <w:rPr>
          <w:rFonts w:ascii="Calibri" w:eastAsia="Times New Roman" w:hAnsi="Calibri" w:cs="Calibri"/>
          <w:sz w:val="22"/>
          <w:szCs w:val="22"/>
          <w:lang w:val="en-US"/>
        </w:rPr>
        <w:t xml:space="preserve"> a “Time-to-Trigger” (TTT) for buffer level reporting. The motivation behind this is same as the TTT defined for RRM measurements i.e., to avoid reporting if the event was met only “momentarily”. UE APP should ensure that the buffer level continuously meets the threshold for TTT duration and report only then.</w:t>
      </w:r>
    </w:p>
    <w:p w14:paraId="15BEE132" w14:textId="5363D406" w:rsidR="00552431" w:rsidRDefault="003C34A8" w:rsidP="00707EB1">
      <w:pPr>
        <w:spacing w:after="0"/>
        <w:rPr>
          <w:rFonts w:ascii="Calibri" w:eastAsia="Times New Roman" w:hAnsi="Calibri" w:cs="Calibri"/>
          <w:sz w:val="22"/>
          <w:szCs w:val="22"/>
          <w:lang w:val="en-US"/>
        </w:rPr>
      </w:pPr>
      <w:r>
        <w:rPr>
          <w:rFonts w:ascii="Calibri" w:eastAsia="Times New Roman" w:hAnsi="Calibri" w:cs="Calibri"/>
          <w:noProof/>
          <w:sz w:val="22"/>
          <w:szCs w:val="22"/>
          <w:lang w:val="en-US"/>
        </w:rPr>
        <w:drawing>
          <wp:inline distT="0" distB="0" distL="0" distR="0" wp14:anchorId="65405002" wp14:editId="64DED37A">
            <wp:extent cx="6115050" cy="23107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5050" cy="2310765"/>
                    </a:xfrm>
                    <a:prstGeom prst="rect">
                      <a:avLst/>
                    </a:prstGeom>
                    <a:noFill/>
                  </pic:spPr>
                </pic:pic>
              </a:graphicData>
            </a:graphic>
          </wp:inline>
        </w:drawing>
      </w:r>
    </w:p>
    <w:p w14:paraId="50BF641A" w14:textId="77777777" w:rsidR="00552431" w:rsidRDefault="00552431" w:rsidP="00707EB1">
      <w:pPr>
        <w:spacing w:after="0"/>
        <w:rPr>
          <w:rFonts w:ascii="Calibri" w:eastAsia="Times New Roman" w:hAnsi="Calibri" w:cs="Calibri"/>
          <w:sz w:val="22"/>
          <w:szCs w:val="22"/>
          <w:lang w:val="en-US"/>
        </w:rPr>
      </w:pPr>
    </w:p>
    <w:p w14:paraId="4F55F687" w14:textId="77777777" w:rsidR="001C43F2" w:rsidRDefault="001C43F2" w:rsidP="00707EB1">
      <w:pPr>
        <w:spacing w:after="0"/>
        <w:rPr>
          <w:rFonts w:ascii="Calibri" w:eastAsia="Times New Roman" w:hAnsi="Calibri" w:cs="Calibri"/>
          <w:b/>
          <w:bCs/>
          <w:sz w:val="22"/>
          <w:szCs w:val="22"/>
          <w:lang w:val="en-US"/>
        </w:rPr>
      </w:pPr>
    </w:p>
    <w:p w14:paraId="28DE4331" w14:textId="77777777" w:rsidR="00FB194D" w:rsidRDefault="00FB194D" w:rsidP="00707EB1">
      <w:pPr>
        <w:spacing w:after="0"/>
        <w:rPr>
          <w:rFonts w:ascii="Calibri" w:eastAsia="Times New Roman" w:hAnsi="Calibri" w:cs="Calibri"/>
          <w:sz w:val="22"/>
          <w:szCs w:val="22"/>
          <w:lang w:val="en-US"/>
        </w:rPr>
      </w:pPr>
    </w:p>
    <w:p w14:paraId="736AF6E2" w14:textId="77777777" w:rsidR="00707EB1" w:rsidRPr="00707EB1" w:rsidRDefault="00707EB1" w:rsidP="00707EB1">
      <w:pPr>
        <w:spacing w:after="0"/>
        <w:rPr>
          <w:rFonts w:ascii="Calibri" w:eastAsia="Times New Roman" w:hAnsi="Calibri" w:cs="Calibri"/>
          <w:color w:val="00B050"/>
          <w:sz w:val="22"/>
          <w:szCs w:val="22"/>
          <w:lang w:val="en-US"/>
        </w:rPr>
      </w:pPr>
      <w:r w:rsidRPr="00707EB1">
        <w:rPr>
          <w:rFonts w:ascii="Calibri" w:eastAsia="Times New Roman" w:hAnsi="Calibri" w:cs="Calibri"/>
          <w:color w:val="00B050"/>
          <w:sz w:val="22"/>
          <w:szCs w:val="22"/>
          <w:lang w:val="en-US"/>
        </w:rPr>
        <w:t>RAN3 should discuss how the UE should send the RVQoE reports after the threshold is met, e.g., the following options:</w:t>
      </w:r>
    </w:p>
    <w:p w14:paraId="698E23CD" w14:textId="77777777" w:rsidR="00707EB1" w:rsidRPr="00707EB1" w:rsidRDefault="00707EB1" w:rsidP="00707EB1">
      <w:pPr>
        <w:pStyle w:val="ListParagraph"/>
        <w:numPr>
          <w:ilvl w:val="0"/>
          <w:numId w:val="6"/>
        </w:numPr>
        <w:spacing w:after="0"/>
        <w:rPr>
          <w:rFonts w:ascii="Calibri" w:eastAsia="Times New Roman" w:hAnsi="Calibri" w:cs="Calibri"/>
          <w:color w:val="00B050"/>
          <w:sz w:val="22"/>
          <w:szCs w:val="22"/>
          <w:lang w:val="en-US"/>
        </w:rPr>
      </w:pPr>
      <w:r w:rsidRPr="00707EB1">
        <w:rPr>
          <w:rFonts w:ascii="Calibri" w:eastAsia="Times New Roman" w:hAnsi="Calibri" w:cs="Calibri"/>
          <w:color w:val="00B050"/>
          <w:sz w:val="22"/>
          <w:szCs w:val="22"/>
          <w:lang w:val="en-US"/>
        </w:rPr>
        <w:t>Option 1: Just once (after receiving this RVQoE report, gNB might reconfigure this threshold value to get additional reports)</w:t>
      </w:r>
    </w:p>
    <w:p w14:paraId="0D00584D" w14:textId="77777777" w:rsidR="00707EB1" w:rsidRPr="00707EB1" w:rsidRDefault="00707EB1" w:rsidP="00707EB1">
      <w:pPr>
        <w:pStyle w:val="ListParagraph"/>
        <w:numPr>
          <w:ilvl w:val="0"/>
          <w:numId w:val="6"/>
        </w:numPr>
        <w:spacing w:after="0"/>
        <w:rPr>
          <w:rFonts w:ascii="Calibri" w:eastAsia="Times New Roman" w:hAnsi="Calibri" w:cs="Calibri"/>
          <w:color w:val="00B050"/>
          <w:sz w:val="22"/>
          <w:szCs w:val="22"/>
          <w:lang w:val="en-US"/>
        </w:rPr>
      </w:pPr>
      <w:r w:rsidRPr="00707EB1">
        <w:rPr>
          <w:rFonts w:ascii="Calibri" w:eastAsia="Times New Roman" w:hAnsi="Calibri" w:cs="Calibri"/>
          <w:color w:val="00B050"/>
          <w:sz w:val="22"/>
          <w:szCs w:val="22"/>
          <w:lang w:val="en-US"/>
        </w:rPr>
        <w:t>Option 2: Periodically based on a gNB configured reporting periodicity</w:t>
      </w:r>
    </w:p>
    <w:p w14:paraId="614839DE" w14:textId="77777777" w:rsidR="00707EB1" w:rsidRDefault="00707EB1" w:rsidP="00707EB1">
      <w:pPr>
        <w:pStyle w:val="ListParagraph"/>
        <w:numPr>
          <w:ilvl w:val="0"/>
          <w:numId w:val="6"/>
        </w:numPr>
        <w:spacing w:after="0"/>
        <w:rPr>
          <w:rFonts w:ascii="Calibri" w:eastAsia="Times New Roman" w:hAnsi="Calibri" w:cs="Calibri"/>
          <w:color w:val="00B050"/>
          <w:sz w:val="22"/>
          <w:szCs w:val="22"/>
          <w:lang w:val="en-US"/>
        </w:rPr>
      </w:pPr>
      <w:r w:rsidRPr="00707EB1">
        <w:rPr>
          <w:rFonts w:ascii="Calibri" w:eastAsia="Times New Roman" w:hAnsi="Calibri" w:cs="Calibri"/>
          <w:color w:val="00B050"/>
          <w:sz w:val="22"/>
          <w:szCs w:val="22"/>
          <w:lang w:val="en-US"/>
        </w:rPr>
        <w:t>Option 3: A certain number of times based on gNB configured report amount</w:t>
      </w:r>
    </w:p>
    <w:p w14:paraId="04C83F23" w14:textId="77777777" w:rsidR="0025496F" w:rsidRDefault="0025496F" w:rsidP="0025496F">
      <w:pPr>
        <w:spacing w:after="0"/>
        <w:rPr>
          <w:rFonts w:ascii="Calibri" w:eastAsia="Times New Roman" w:hAnsi="Calibri" w:cs="Calibri"/>
          <w:color w:val="00B050"/>
          <w:sz w:val="22"/>
          <w:szCs w:val="22"/>
          <w:lang w:val="en-US"/>
        </w:rPr>
      </w:pPr>
    </w:p>
    <w:p w14:paraId="428CA5AE" w14:textId="2072AA47" w:rsidR="008F7F30" w:rsidRDefault="000814AC" w:rsidP="0025496F">
      <w:pPr>
        <w:spacing w:after="0"/>
        <w:rPr>
          <w:rFonts w:ascii="Calibri" w:eastAsia="Times New Roman" w:hAnsi="Calibri" w:cs="Calibri"/>
          <w:sz w:val="22"/>
          <w:szCs w:val="22"/>
          <w:lang w:val="en-US"/>
        </w:rPr>
      </w:pPr>
      <w:r w:rsidRPr="00DC454F">
        <w:rPr>
          <w:rFonts w:ascii="Calibri" w:eastAsia="Times New Roman" w:hAnsi="Calibri" w:cs="Calibri"/>
          <w:sz w:val="22"/>
          <w:szCs w:val="22"/>
          <w:lang w:val="en-US"/>
        </w:rPr>
        <w:t xml:space="preserve">Although Option 1 is </w:t>
      </w:r>
      <w:r w:rsidR="00DC454F">
        <w:rPr>
          <w:rFonts w:ascii="Calibri" w:eastAsia="Times New Roman" w:hAnsi="Calibri" w:cs="Calibri"/>
          <w:sz w:val="22"/>
          <w:szCs w:val="22"/>
          <w:lang w:val="en-US"/>
        </w:rPr>
        <w:t xml:space="preserve">a </w:t>
      </w:r>
      <w:r w:rsidRPr="00DC454F">
        <w:rPr>
          <w:rFonts w:ascii="Calibri" w:eastAsia="Times New Roman" w:hAnsi="Calibri" w:cs="Calibri"/>
          <w:sz w:val="22"/>
          <w:szCs w:val="22"/>
          <w:lang w:val="en-US"/>
        </w:rPr>
        <w:t>possible</w:t>
      </w:r>
      <w:r w:rsidR="00DC454F">
        <w:rPr>
          <w:rFonts w:ascii="Calibri" w:eastAsia="Times New Roman" w:hAnsi="Calibri" w:cs="Calibri"/>
          <w:sz w:val="22"/>
          <w:szCs w:val="22"/>
          <w:lang w:val="en-US"/>
        </w:rPr>
        <w:t xml:space="preserve"> option</w:t>
      </w:r>
      <w:r w:rsidRPr="00DC454F">
        <w:rPr>
          <w:rFonts w:ascii="Calibri" w:eastAsia="Times New Roman" w:hAnsi="Calibri" w:cs="Calibri"/>
          <w:sz w:val="22"/>
          <w:szCs w:val="22"/>
          <w:lang w:val="en-US"/>
        </w:rPr>
        <w:t xml:space="preserve">, it might need gNB to reconfigure the threshold </w:t>
      </w:r>
      <w:r w:rsidR="00EC03E7" w:rsidRPr="00DC454F">
        <w:rPr>
          <w:rFonts w:ascii="Calibri" w:eastAsia="Times New Roman" w:hAnsi="Calibri" w:cs="Calibri"/>
          <w:sz w:val="22"/>
          <w:szCs w:val="22"/>
          <w:lang w:val="en-US"/>
        </w:rPr>
        <w:t>multiple times to get the RVQoE report each time.</w:t>
      </w:r>
      <w:r w:rsidR="00E575A1" w:rsidRPr="00DC454F">
        <w:rPr>
          <w:rFonts w:ascii="Calibri" w:eastAsia="Times New Roman" w:hAnsi="Calibri" w:cs="Calibri"/>
          <w:sz w:val="22"/>
          <w:szCs w:val="22"/>
          <w:lang w:val="en-US"/>
        </w:rPr>
        <w:t xml:space="preserve"> To provide more flexibility, we think </w:t>
      </w:r>
      <w:r w:rsidR="00FE5BB4">
        <w:rPr>
          <w:rFonts w:ascii="Calibri" w:eastAsia="Times New Roman" w:hAnsi="Calibri" w:cs="Calibri"/>
          <w:sz w:val="22"/>
          <w:szCs w:val="22"/>
          <w:lang w:val="en-US"/>
        </w:rPr>
        <w:t xml:space="preserve">that </w:t>
      </w:r>
      <w:r w:rsidR="00E575A1" w:rsidRPr="00DC454F">
        <w:rPr>
          <w:rFonts w:ascii="Calibri" w:eastAsia="Times New Roman" w:hAnsi="Calibri" w:cs="Calibri"/>
          <w:sz w:val="22"/>
          <w:szCs w:val="22"/>
          <w:lang w:val="en-US"/>
        </w:rPr>
        <w:t xml:space="preserve">the gNB can configure a </w:t>
      </w:r>
      <w:r w:rsidR="00BB7455" w:rsidRPr="00BB7455">
        <w:rPr>
          <w:rFonts w:ascii="Calibri" w:eastAsia="Times New Roman" w:hAnsi="Calibri" w:cs="Calibri"/>
          <w:i/>
          <w:iCs/>
          <w:sz w:val="22"/>
          <w:szCs w:val="22"/>
          <w:lang w:val="en-US"/>
        </w:rPr>
        <w:t>R</w:t>
      </w:r>
      <w:r w:rsidR="00E575A1" w:rsidRPr="00BB7455">
        <w:rPr>
          <w:rFonts w:ascii="Calibri" w:eastAsia="Times New Roman" w:hAnsi="Calibri" w:cs="Calibri"/>
          <w:i/>
          <w:iCs/>
          <w:sz w:val="22"/>
          <w:szCs w:val="22"/>
          <w:lang w:val="en-US"/>
        </w:rPr>
        <w:t>eport</w:t>
      </w:r>
      <w:r w:rsidR="00BB7455" w:rsidRPr="00BB7455">
        <w:rPr>
          <w:rFonts w:ascii="Calibri" w:eastAsia="Times New Roman" w:hAnsi="Calibri" w:cs="Calibri"/>
          <w:i/>
          <w:iCs/>
          <w:sz w:val="22"/>
          <w:szCs w:val="22"/>
          <w:lang w:val="en-US"/>
        </w:rPr>
        <w:t>A</w:t>
      </w:r>
      <w:r w:rsidR="00E575A1" w:rsidRPr="00BB7455">
        <w:rPr>
          <w:rFonts w:ascii="Calibri" w:eastAsia="Times New Roman" w:hAnsi="Calibri" w:cs="Calibri"/>
          <w:i/>
          <w:iCs/>
          <w:sz w:val="22"/>
          <w:szCs w:val="22"/>
          <w:lang w:val="en-US"/>
        </w:rPr>
        <w:t>mount</w:t>
      </w:r>
      <w:r w:rsidR="00E575A1" w:rsidRPr="00DC454F">
        <w:rPr>
          <w:rFonts w:ascii="Calibri" w:eastAsia="Times New Roman" w:hAnsi="Calibri" w:cs="Calibri"/>
          <w:sz w:val="22"/>
          <w:szCs w:val="22"/>
          <w:lang w:val="en-US"/>
        </w:rPr>
        <w:t xml:space="preserve"> and </w:t>
      </w:r>
      <w:r w:rsidR="00BB7455" w:rsidRPr="00BB7455">
        <w:rPr>
          <w:rFonts w:ascii="Calibri" w:eastAsia="Times New Roman" w:hAnsi="Calibri" w:cs="Calibri"/>
          <w:i/>
          <w:iCs/>
          <w:sz w:val="22"/>
          <w:szCs w:val="22"/>
          <w:lang w:val="en-US"/>
        </w:rPr>
        <w:t>R</w:t>
      </w:r>
      <w:r w:rsidR="00E575A1" w:rsidRPr="00BB7455">
        <w:rPr>
          <w:rFonts w:ascii="Calibri" w:eastAsia="Times New Roman" w:hAnsi="Calibri" w:cs="Calibri"/>
          <w:i/>
          <w:iCs/>
          <w:sz w:val="22"/>
          <w:szCs w:val="22"/>
          <w:lang w:val="en-US"/>
        </w:rPr>
        <w:t>eport</w:t>
      </w:r>
      <w:r w:rsidR="00BB7455" w:rsidRPr="00BB7455">
        <w:rPr>
          <w:rFonts w:ascii="Calibri" w:eastAsia="Times New Roman" w:hAnsi="Calibri" w:cs="Calibri"/>
          <w:i/>
          <w:iCs/>
          <w:sz w:val="22"/>
          <w:szCs w:val="22"/>
          <w:lang w:val="en-US"/>
        </w:rPr>
        <w:t>I</w:t>
      </w:r>
      <w:r w:rsidR="00E575A1" w:rsidRPr="00BB7455">
        <w:rPr>
          <w:rFonts w:ascii="Calibri" w:eastAsia="Times New Roman" w:hAnsi="Calibri" w:cs="Calibri"/>
          <w:i/>
          <w:iCs/>
          <w:sz w:val="22"/>
          <w:szCs w:val="22"/>
          <w:lang w:val="en-US"/>
        </w:rPr>
        <w:t>nterval</w:t>
      </w:r>
      <w:r w:rsidR="00A116FD" w:rsidRPr="00DC454F">
        <w:rPr>
          <w:rFonts w:ascii="Calibri" w:eastAsia="Times New Roman" w:hAnsi="Calibri" w:cs="Calibri"/>
          <w:sz w:val="22"/>
          <w:szCs w:val="22"/>
          <w:lang w:val="en-US"/>
        </w:rPr>
        <w:t xml:space="preserve"> in addition to the threshold. UE will report RVQoE </w:t>
      </w:r>
      <w:r w:rsidR="00055F3D">
        <w:rPr>
          <w:rFonts w:ascii="Calibri" w:eastAsia="Times New Roman" w:hAnsi="Calibri" w:cs="Calibri"/>
          <w:sz w:val="22"/>
          <w:szCs w:val="22"/>
          <w:lang w:val="en-US"/>
        </w:rPr>
        <w:t xml:space="preserve">periodicially as indicated by the </w:t>
      </w:r>
      <w:r w:rsidR="00BB7455" w:rsidRPr="00BB7455">
        <w:rPr>
          <w:rFonts w:ascii="Calibri" w:eastAsia="Times New Roman" w:hAnsi="Calibri" w:cs="Calibri"/>
          <w:i/>
          <w:iCs/>
          <w:sz w:val="22"/>
          <w:szCs w:val="22"/>
          <w:lang w:val="en-US"/>
        </w:rPr>
        <w:t>R</w:t>
      </w:r>
      <w:r w:rsidR="00055F3D" w:rsidRPr="00BB7455">
        <w:rPr>
          <w:rFonts w:ascii="Calibri" w:eastAsia="Times New Roman" w:hAnsi="Calibri" w:cs="Calibri"/>
          <w:i/>
          <w:iCs/>
          <w:sz w:val="22"/>
          <w:szCs w:val="22"/>
          <w:lang w:val="en-US"/>
        </w:rPr>
        <w:t>eport</w:t>
      </w:r>
      <w:r w:rsidR="00BB7455" w:rsidRPr="00BB7455">
        <w:rPr>
          <w:rFonts w:ascii="Calibri" w:eastAsia="Times New Roman" w:hAnsi="Calibri" w:cs="Calibri"/>
          <w:i/>
          <w:iCs/>
          <w:sz w:val="22"/>
          <w:szCs w:val="22"/>
          <w:lang w:val="en-US"/>
        </w:rPr>
        <w:t>I</w:t>
      </w:r>
      <w:r w:rsidR="00055F3D" w:rsidRPr="00BB7455">
        <w:rPr>
          <w:rFonts w:ascii="Calibri" w:eastAsia="Times New Roman" w:hAnsi="Calibri" w:cs="Calibri"/>
          <w:i/>
          <w:iCs/>
          <w:sz w:val="22"/>
          <w:szCs w:val="22"/>
          <w:lang w:val="en-US"/>
        </w:rPr>
        <w:t>nterval</w:t>
      </w:r>
      <w:r w:rsidR="00055F3D">
        <w:rPr>
          <w:rFonts w:ascii="Calibri" w:eastAsia="Times New Roman" w:hAnsi="Calibri" w:cs="Calibri"/>
          <w:sz w:val="22"/>
          <w:szCs w:val="22"/>
          <w:lang w:val="en-US"/>
        </w:rPr>
        <w:t xml:space="preserve"> for </w:t>
      </w:r>
      <w:r w:rsidR="00BB7455">
        <w:rPr>
          <w:rFonts w:ascii="Calibri" w:eastAsia="Times New Roman" w:hAnsi="Calibri" w:cs="Calibri"/>
          <w:sz w:val="22"/>
          <w:szCs w:val="22"/>
          <w:lang w:val="en-US"/>
        </w:rPr>
        <w:t>the</w:t>
      </w:r>
      <w:r w:rsidR="00055F3D">
        <w:rPr>
          <w:rFonts w:ascii="Calibri" w:eastAsia="Times New Roman" w:hAnsi="Calibri" w:cs="Calibri"/>
          <w:sz w:val="22"/>
          <w:szCs w:val="22"/>
          <w:lang w:val="en-US"/>
        </w:rPr>
        <w:t xml:space="preserve"> </w:t>
      </w:r>
      <w:r w:rsidR="00BB7455" w:rsidRPr="00BB7455">
        <w:rPr>
          <w:rFonts w:ascii="Calibri" w:eastAsia="Times New Roman" w:hAnsi="Calibri" w:cs="Calibri"/>
          <w:i/>
          <w:iCs/>
          <w:sz w:val="22"/>
          <w:szCs w:val="22"/>
          <w:lang w:val="en-US"/>
        </w:rPr>
        <w:t>ReportAmount</w:t>
      </w:r>
      <w:r w:rsidR="00BB7455">
        <w:rPr>
          <w:rFonts w:ascii="Calibri" w:eastAsia="Times New Roman" w:hAnsi="Calibri" w:cs="Calibri"/>
          <w:sz w:val="22"/>
          <w:szCs w:val="22"/>
          <w:lang w:val="en-US"/>
        </w:rPr>
        <w:t xml:space="preserve"> </w:t>
      </w:r>
      <w:r w:rsidR="00055F3D">
        <w:rPr>
          <w:rFonts w:ascii="Calibri" w:eastAsia="Times New Roman" w:hAnsi="Calibri" w:cs="Calibri"/>
          <w:sz w:val="22"/>
          <w:szCs w:val="22"/>
          <w:lang w:val="en-US"/>
        </w:rPr>
        <w:t>number of times</w:t>
      </w:r>
      <w:r w:rsidR="003F2CB0">
        <w:rPr>
          <w:rFonts w:ascii="Calibri" w:eastAsia="Times New Roman" w:hAnsi="Calibri" w:cs="Calibri"/>
          <w:sz w:val="22"/>
          <w:szCs w:val="22"/>
          <w:lang w:val="en-US"/>
        </w:rPr>
        <w:t xml:space="preserve">. </w:t>
      </w:r>
    </w:p>
    <w:p w14:paraId="63C6B56C" w14:textId="7D0A499C" w:rsidR="00374C7D" w:rsidRPr="00DC454F" w:rsidRDefault="00374C7D" w:rsidP="0025496F">
      <w:pPr>
        <w:spacing w:after="0"/>
        <w:rPr>
          <w:rFonts w:ascii="Calibri" w:eastAsia="Times New Roman" w:hAnsi="Calibri" w:cs="Calibri"/>
          <w:sz w:val="22"/>
          <w:szCs w:val="22"/>
          <w:lang w:val="en-US"/>
        </w:rPr>
      </w:pPr>
    </w:p>
    <w:p w14:paraId="75E72DD2" w14:textId="580B2721" w:rsidR="008F7F30" w:rsidRDefault="008F7F30" w:rsidP="008F7F30">
      <w:pPr>
        <w:spacing w:after="0"/>
        <w:rPr>
          <w:rFonts w:ascii="Calibri" w:eastAsia="Times New Roman" w:hAnsi="Calibri" w:cs="Calibri"/>
          <w:sz w:val="22"/>
          <w:szCs w:val="22"/>
          <w:lang w:val="en-US"/>
        </w:rPr>
      </w:pPr>
      <w:r w:rsidRPr="001C43F2">
        <w:rPr>
          <w:rFonts w:ascii="Calibri" w:eastAsia="Times New Roman" w:hAnsi="Calibri" w:cs="Calibri"/>
          <w:b/>
          <w:bCs/>
          <w:sz w:val="22"/>
          <w:szCs w:val="22"/>
          <w:lang w:val="en-US"/>
        </w:rPr>
        <w:t>Proposal</w:t>
      </w:r>
      <w:r w:rsidR="001E6218">
        <w:rPr>
          <w:rFonts w:ascii="Calibri" w:eastAsia="Times New Roman" w:hAnsi="Calibri" w:cs="Calibri"/>
          <w:b/>
          <w:bCs/>
          <w:sz w:val="22"/>
          <w:szCs w:val="22"/>
          <w:lang w:val="en-US"/>
        </w:rPr>
        <w:t xml:space="preserve"> 1</w:t>
      </w:r>
      <w:r w:rsidRPr="001C43F2">
        <w:rPr>
          <w:rFonts w:ascii="Calibri" w:eastAsia="Times New Roman" w:hAnsi="Calibri" w:cs="Calibri"/>
          <w:b/>
          <w:bCs/>
          <w:sz w:val="22"/>
          <w:szCs w:val="22"/>
          <w:lang w:val="en-US"/>
        </w:rPr>
        <w:t>:</w:t>
      </w:r>
      <w:r w:rsidRPr="001C43F2">
        <w:rPr>
          <w:rFonts w:ascii="Calibri" w:eastAsia="Times New Roman" w:hAnsi="Calibri" w:cs="Calibri"/>
          <w:sz w:val="22"/>
          <w:szCs w:val="22"/>
          <w:lang w:val="en-US"/>
        </w:rPr>
        <w:t xml:space="preserve"> </w:t>
      </w:r>
      <w:r w:rsidR="00A249B2" w:rsidRPr="00A249B2">
        <w:rPr>
          <w:rFonts w:ascii="Calibri" w:eastAsia="Times New Roman" w:hAnsi="Calibri" w:cs="Calibri"/>
          <w:sz w:val="22"/>
          <w:szCs w:val="22"/>
          <w:lang w:val="en-US"/>
        </w:rPr>
        <w:t>In order to support threshold-based reporting of buffer level, gNB may configure the following to UE:</w:t>
      </w:r>
    </w:p>
    <w:p w14:paraId="05172C30" w14:textId="159B803D" w:rsidR="00944248" w:rsidRDefault="000C7958" w:rsidP="00944248">
      <w:pPr>
        <w:pStyle w:val="ListParagraph"/>
        <w:numPr>
          <w:ilvl w:val="0"/>
          <w:numId w:val="9"/>
        </w:numPr>
        <w:spacing w:after="0"/>
        <w:rPr>
          <w:rFonts w:ascii="Calibri" w:eastAsia="Times New Roman" w:hAnsi="Calibri" w:cs="Calibri"/>
          <w:sz w:val="22"/>
          <w:szCs w:val="22"/>
          <w:lang w:val="en-US"/>
        </w:rPr>
      </w:pPr>
      <w:r>
        <w:rPr>
          <w:rFonts w:ascii="Calibri" w:eastAsia="Times New Roman" w:hAnsi="Calibri" w:cs="Calibri"/>
          <w:sz w:val="22"/>
          <w:szCs w:val="22"/>
          <w:lang w:val="en-US"/>
        </w:rPr>
        <w:t>T</w:t>
      </w:r>
      <w:r w:rsidR="008F7F30" w:rsidRPr="008F7F30">
        <w:rPr>
          <w:rFonts w:ascii="Calibri" w:eastAsia="Times New Roman" w:hAnsi="Calibri" w:cs="Calibri"/>
          <w:sz w:val="22"/>
          <w:szCs w:val="22"/>
          <w:lang w:val="en-US"/>
        </w:rPr>
        <w:t>hreshol</w:t>
      </w:r>
      <w:r w:rsidR="00AD24E3">
        <w:rPr>
          <w:rFonts w:ascii="Calibri" w:eastAsia="Times New Roman" w:hAnsi="Calibri" w:cs="Calibri"/>
          <w:sz w:val="22"/>
          <w:szCs w:val="22"/>
          <w:lang w:val="en-US"/>
        </w:rPr>
        <w:t>d</w:t>
      </w:r>
    </w:p>
    <w:p w14:paraId="32E4257D" w14:textId="28A16ACF" w:rsidR="008F7F30" w:rsidRDefault="008F7F30" w:rsidP="00944248">
      <w:pPr>
        <w:pStyle w:val="ListParagraph"/>
        <w:numPr>
          <w:ilvl w:val="0"/>
          <w:numId w:val="9"/>
        </w:numPr>
        <w:spacing w:after="0"/>
        <w:rPr>
          <w:rFonts w:ascii="Calibri" w:eastAsia="Times New Roman" w:hAnsi="Calibri" w:cs="Calibri"/>
          <w:sz w:val="22"/>
          <w:szCs w:val="22"/>
          <w:lang w:val="en-US"/>
        </w:rPr>
      </w:pPr>
      <w:r w:rsidRPr="008F7F30">
        <w:rPr>
          <w:rFonts w:ascii="Calibri" w:eastAsia="Times New Roman" w:hAnsi="Calibri" w:cs="Calibri"/>
          <w:sz w:val="22"/>
          <w:szCs w:val="22"/>
          <w:lang w:val="en-US"/>
        </w:rPr>
        <w:t>Time-to-Trigger (TTT)</w:t>
      </w:r>
    </w:p>
    <w:p w14:paraId="236481D6" w14:textId="0FCDAA65" w:rsidR="00944248" w:rsidRDefault="00944248" w:rsidP="00944248">
      <w:pPr>
        <w:pStyle w:val="ListParagraph"/>
        <w:numPr>
          <w:ilvl w:val="0"/>
          <w:numId w:val="9"/>
        </w:numPr>
        <w:spacing w:after="0"/>
        <w:rPr>
          <w:rFonts w:ascii="Calibri" w:eastAsia="Times New Roman" w:hAnsi="Calibri" w:cs="Calibri"/>
          <w:sz w:val="22"/>
          <w:szCs w:val="22"/>
          <w:lang w:val="en-US"/>
        </w:rPr>
      </w:pPr>
      <w:r>
        <w:rPr>
          <w:rFonts w:ascii="Calibri" w:eastAsia="Times New Roman" w:hAnsi="Calibri" w:cs="Calibri"/>
          <w:sz w:val="22"/>
          <w:szCs w:val="22"/>
          <w:lang w:val="en-US"/>
        </w:rPr>
        <w:t>ReportAmount</w:t>
      </w:r>
    </w:p>
    <w:p w14:paraId="4D6B4E23" w14:textId="37C6A676" w:rsidR="00944248" w:rsidRPr="008F7F30" w:rsidRDefault="00944248" w:rsidP="00944248">
      <w:pPr>
        <w:pStyle w:val="ListParagraph"/>
        <w:numPr>
          <w:ilvl w:val="0"/>
          <w:numId w:val="9"/>
        </w:numPr>
        <w:spacing w:after="0"/>
        <w:rPr>
          <w:rFonts w:ascii="Calibri" w:eastAsia="Times New Roman" w:hAnsi="Calibri" w:cs="Calibri"/>
          <w:sz w:val="22"/>
          <w:szCs w:val="22"/>
          <w:lang w:val="en-US"/>
        </w:rPr>
      </w:pPr>
      <w:r>
        <w:rPr>
          <w:rFonts w:ascii="Calibri" w:eastAsia="Times New Roman" w:hAnsi="Calibri" w:cs="Calibri"/>
          <w:sz w:val="22"/>
          <w:szCs w:val="22"/>
          <w:lang w:val="en-US"/>
        </w:rPr>
        <w:t>ReportInterval</w:t>
      </w:r>
    </w:p>
    <w:p w14:paraId="293A76D9" w14:textId="77777777" w:rsidR="008F7F30" w:rsidRDefault="008F7F30" w:rsidP="008F7F30">
      <w:pPr>
        <w:spacing w:after="0"/>
        <w:rPr>
          <w:rFonts w:ascii="Calibri" w:eastAsia="Times New Roman" w:hAnsi="Calibri" w:cs="Calibri"/>
          <w:sz w:val="22"/>
          <w:szCs w:val="22"/>
          <w:lang w:val="en-US"/>
        </w:rPr>
      </w:pPr>
    </w:p>
    <w:p w14:paraId="757EEC79" w14:textId="04A5B98A" w:rsidR="008F7F30" w:rsidRDefault="008F7F30" w:rsidP="008F7F30">
      <w:pPr>
        <w:spacing w:after="0"/>
        <w:rPr>
          <w:rFonts w:ascii="Calibri" w:eastAsia="Times New Roman" w:hAnsi="Calibri" w:cs="Calibri"/>
          <w:sz w:val="22"/>
          <w:szCs w:val="22"/>
          <w:lang w:val="en-US"/>
        </w:rPr>
      </w:pPr>
      <w:r w:rsidRPr="00594CC1">
        <w:rPr>
          <w:rFonts w:ascii="Calibri" w:eastAsia="Times New Roman" w:hAnsi="Calibri" w:cs="Calibri"/>
          <w:b/>
          <w:bCs/>
          <w:sz w:val="22"/>
          <w:szCs w:val="22"/>
          <w:lang w:val="en-US"/>
        </w:rPr>
        <w:lastRenderedPageBreak/>
        <w:t>Proposal</w:t>
      </w:r>
      <w:r w:rsidR="001E6218">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UE will start reporting the buffer level only when the buffer level is </w:t>
      </w:r>
      <w:r w:rsidR="00AD24E3">
        <w:rPr>
          <w:rFonts w:ascii="Calibri" w:eastAsia="Times New Roman" w:hAnsi="Calibri" w:cs="Calibri"/>
          <w:sz w:val="22"/>
          <w:szCs w:val="22"/>
          <w:lang w:val="en-US"/>
        </w:rPr>
        <w:t>smaller</w:t>
      </w:r>
      <w:r>
        <w:rPr>
          <w:rFonts w:ascii="Calibri" w:eastAsia="Times New Roman" w:hAnsi="Calibri" w:cs="Calibri"/>
          <w:sz w:val="22"/>
          <w:szCs w:val="22"/>
          <w:lang w:val="en-US"/>
        </w:rPr>
        <w:t xml:space="preserve"> than a threshold for a certain TTT duration</w:t>
      </w:r>
    </w:p>
    <w:p w14:paraId="5FE84663" w14:textId="77777777" w:rsidR="00F017F9" w:rsidRDefault="00F017F9" w:rsidP="008F7F30">
      <w:pPr>
        <w:spacing w:after="0"/>
        <w:rPr>
          <w:rFonts w:ascii="Calibri" w:eastAsia="Times New Roman" w:hAnsi="Calibri" w:cs="Calibri"/>
          <w:sz w:val="22"/>
          <w:szCs w:val="22"/>
          <w:lang w:val="en-US"/>
        </w:rPr>
      </w:pPr>
    </w:p>
    <w:p w14:paraId="7648D5E3" w14:textId="45615E31" w:rsidR="00A73E35" w:rsidRDefault="00F017F9" w:rsidP="00E63116">
      <w:pPr>
        <w:spacing w:after="0"/>
        <w:rPr>
          <w:rFonts w:ascii="Calibri" w:eastAsia="Times New Roman" w:hAnsi="Calibri" w:cs="Calibri"/>
          <w:sz w:val="22"/>
          <w:szCs w:val="22"/>
          <w:lang w:val="en-US"/>
        </w:rPr>
      </w:pPr>
      <w:r w:rsidRPr="00F017F9">
        <w:rPr>
          <w:rFonts w:ascii="Calibri" w:eastAsia="Times New Roman" w:hAnsi="Calibri" w:cs="Calibri"/>
          <w:b/>
          <w:bCs/>
          <w:sz w:val="22"/>
          <w:szCs w:val="22"/>
          <w:lang w:val="en-US"/>
        </w:rPr>
        <w:t>Proposal</w:t>
      </w:r>
      <w:r w:rsidR="001E6218">
        <w:rPr>
          <w:rFonts w:ascii="Calibri" w:eastAsia="Times New Roman" w:hAnsi="Calibri" w:cs="Calibri"/>
          <w:b/>
          <w:bCs/>
          <w:sz w:val="22"/>
          <w:szCs w:val="22"/>
          <w:lang w:val="en-US"/>
        </w:rPr>
        <w:t xml:space="preserve"> 3</w:t>
      </w:r>
      <w:r w:rsidRPr="00F017F9">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Upon meeting the threshold, UE will </w:t>
      </w:r>
      <w:r w:rsidRPr="00F017F9">
        <w:rPr>
          <w:rFonts w:ascii="Calibri" w:eastAsia="Times New Roman" w:hAnsi="Calibri" w:cs="Calibri"/>
          <w:sz w:val="22"/>
          <w:szCs w:val="22"/>
          <w:lang w:val="en-US"/>
        </w:rPr>
        <w:t xml:space="preserve">report RVQoE periodicially as indicated by the </w:t>
      </w:r>
      <w:r w:rsidRPr="00213E6A">
        <w:rPr>
          <w:rFonts w:ascii="Calibri" w:eastAsia="Times New Roman" w:hAnsi="Calibri" w:cs="Calibri"/>
          <w:i/>
          <w:iCs/>
          <w:sz w:val="22"/>
          <w:szCs w:val="22"/>
          <w:lang w:val="en-US"/>
        </w:rPr>
        <w:t>ReportInterval</w:t>
      </w:r>
      <w:r w:rsidRPr="00F017F9">
        <w:rPr>
          <w:rFonts w:ascii="Calibri" w:eastAsia="Times New Roman" w:hAnsi="Calibri" w:cs="Calibri"/>
          <w:sz w:val="22"/>
          <w:szCs w:val="22"/>
          <w:lang w:val="en-US"/>
        </w:rPr>
        <w:t xml:space="preserve"> for the </w:t>
      </w:r>
      <w:r w:rsidRPr="00213E6A">
        <w:rPr>
          <w:rFonts w:ascii="Calibri" w:eastAsia="Times New Roman" w:hAnsi="Calibri" w:cs="Calibri"/>
          <w:i/>
          <w:iCs/>
          <w:sz w:val="22"/>
          <w:szCs w:val="22"/>
          <w:lang w:val="en-US"/>
        </w:rPr>
        <w:t>ReportAmount</w:t>
      </w:r>
      <w:r w:rsidRPr="00F017F9">
        <w:rPr>
          <w:rFonts w:ascii="Calibri" w:eastAsia="Times New Roman" w:hAnsi="Calibri" w:cs="Calibri"/>
          <w:sz w:val="22"/>
          <w:szCs w:val="22"/>
          <w:lang w:val="en-US"/>
        </w:rPr>
        <w:t xml:space="preserve"> number of times</w:t>
      </w:r>
      <w:r>
        <w:rPr>
          <w:rFonts w:ascii="Calibri" w:eastAsia="Times New Roman" w:hAnsi="Calibri" w:cs="Calibri"/>
          <w:sz w:val="22"/>
          <w:szCs w:val="22"/>
          <w:lang w:val="en-US"/>
        </w:rPr>
        <w:t xml:space="preserve"> unless the session </w:t>
      </w:r>
      <w:r w:rsidR="00213E6A">
        <w:rPr>
          <w:rFonts w:ascii="Calibri" w:eastAsia="Times New Roman" w:hAnsi="Calibri" w:cs="Calibri"/>
          <w:sz w:val="22"/>
          <w:szCs w:val="22"/>
          <w:lang w:val="en-US"/>
        </w:rPr>
        <w:t>ends.</w:t>
      </w:r>
    </w:p>
    <w:p w14:paraId="0257C47F" w14:textId="7C19F36E" w:rsidR="00A73E35" w:rsidRDefault="00A73E35" w:rsidP="00E63116">
      <w:pPr>
        <w:spacing w:after="0"/>
        <w:rPr>
          <w:rFonts w:ascii="Calibri" w:eastAsia="Times New Roman" w:hAnsi="Calibri" w:cs="Calibri"/>
          <w:sz w:val="22"/>
          <w:szCs w:val="22"/>
          <w:lang w:val="en-US"/>
        </w:rPr>
      </w:pPr>
    </w:p>
    <w:p w14:paraId="3F4AE96D" w14:textId="43E36D33" w:rsidR="00417A6A" w:rsidRDefault="00DA1722" w:rsidP="00417A6A">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Deactivation of</w:t>
      </w:r>
      <w:r w:rsidR="00D83FE9" w:rsidRPr="00D83FE9">
        <w:rPr>
          <w:rFonts w:asciiTheme="minorHAnsi" w:eastAsia="MS Mincho" w:hAnsiTheme="minorHAnsi" w:cstheme="minorHAnsi"/>
          <w:iCs/>
          <w:sz w:val="28"/>
          <w:lang w:eastAsia="ja-JP"/>
        </w:rPr>
        <w:t xml:space="preserve"> RVQoE report</w:t>
      </w:r>
      <w:r>
        <w:rPr>
          <w:rFonts w:asciiTheme="minorHAnsi" w:eastAsia="MS Mincho" w:hAnsiTheme="minorHAnsi" w:cstheme="minorHAnsi"/>
          <w:iCs/>
          <w:sz w:val="28"/>
          <w:lang w:eastAsia="ja-JP"/>
        </w:rPr>
        <w:t>s</w:t>
      </w:r>
      <w:r w:rsidR="00D83FE9" w:rsidRPr="00D83FE9">
        <w:rPr>
          <w:rFonts w:asciiTheme="minorHAnsi" w:eastAsia="MS Mincho" w:hAnsiTheme="minorHAnsi" w:cstheme="minorHAnsi"/>
          <w:iCs/>
          <w:sz w:val="28"/>
          <w:lang w:eastAsia="ja-JP"/>
        </w:rPr>
        <w:t xml:space="preserve"> over F1</w:t>
      </w:r>
    </w:p>
    <w:p w14:paraId="7485779E" w14:textId="5D8A5C5A" w:rsidR="00417A6A" w:rsidRDefault="00417A6A" w:rsidP="00DA1722">
      <w:pPr>
        <w:spacing w:after="0"/>
        <w:rPr>
          <w:rFonts w:ascii="Calibri" w:eastAsia="Times New Roman" w:hAnsi="Calibri" w:cs="Calibri"/>
          <w:sz w:val="22"/>
          <w:szCs w:val="22"/>
          <w:lang w:val="en-US"/>
        </w:rPr>
      </w:pPr>
    </w:p>
    <w:p w14:paraId="18DDD392" w14:textId="77777777" w:rsidR="00A27B66" w:rsidRDefault="00A27B66" w:rsidP="00DA1722">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A27B66">
        <w:rPr>
          <w:rFonts w:ascii="Calibri" w:eastAsia="Times New Roman" w:hAnsi="Calibri" w:cs="Calibri"/>
          <w:color w:val="00B050"/>
          <w:sz w:val="22"/>
          <w:szCs w:val="22"/>
          <w:lang w:val="en-US"/>
        </w:rPr>
        <w:t>Introduce the deactivation of RAN visible QoE information transfer via F1. No need to introduce pause/resume mechanism in Rel-18</w:t>
      </w:r>
    </w:p>
    <w:p w14:paraId="34E5F27B" w14:textId="77777777" w:rsidR="006B651E" w:rsidRDefault="006B651E" w:rsidP="00DA1722">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06D312A0" w14:textId="77777777" w:rsidR="00DA1722" w:rsidRPr="00DA1722" w:rsidRDefault="00DA1722" w:rsidP="00DA1722">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DA1722">
        <w:rPr>
          <w:rFonts w:ascii="Calibri" w:eastAsia="Times New Roman" w:hAnsi="Calibri" w:cs="Calibri"/>
          <w:color w:val="00B050"/>
          <w:sz w:val="22"/>
          <w:szCs w:val="22"/>
          <w:lang w:val="en-US"/>
        </w:rPr>
        <w:t>WA: A class-2 procedure is used for DU to deactivate the RVQoE reporting over F1AP.</w:t>
      </w:r>
    </w:p>
    <w:p w14:paraId="6A7E39B2" w14:textId="77777777" w:rsidR="00DA1722" w:rsidRPr="00DA1722" w:rsidRDefault="00DA1722" w:rsidP="00DA1722">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07785D00" w14:textId="77777777" w:rsidR="00DA1722" w:rsidRPr="00DA1722" w:rsidRDefault="00DA1722" w:rsidP="00DA1722">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DA1722">
        <w:rPr>
          <w:rFonts w:ascii="Calibri" w:eastAsia="Times New Roman" w:hAnsi="Calibri" w:cs="Calibri"/>
          <w:color w:val="00B050"/>
          <w:sz w:val="22"/>
          <w:szCs w:val="22"/>
          <w:lang w:val="en-US"/>
        </w:rPr>
        <w:t>Further discuss the details of the procedure used for RVQoE deactivation over F1, e.g., legacy or new procedure, UE associated, or non-UE associated signaling</w:t>
      </w:r>
    </w:p>
    <w:p w14:paraId="2F947BBA" w14:textId="77777777" w:rsidR="00DA1722" w:rsidRPr="00DA1722" w:rsidRDefault="00DA1722" w:rsidP="00DA1722">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6E5B6748" w14:textId="77777777" w:rsidR="00DA1722" w:rsidRPr="00DA1722" w:rsidRDefault="00DA1722" w:rsidP="00DA1722">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DA1722">
        <w:rPr>
          <w:rFonts w:ascii="Calibri" w:eastAsia="Times New Roman" w:hAnsi="Calibri" w:cs="Calibri"/>
          <w:color w:val="00B050"/>
          <w:sz w:val="22"/>
          <w:szCs w:val="22"/>
          <w:lang w:val="en-US"/>
        </w:rPr>
        <w:t>RAN3 should discuss whether the deactivation of RVQoE reporting over F1 is performed per RVQoE configuration or not</w:t>
      </w:r>
    </w:p>
    <w:p w14:paraId="439637C2" w14:textId="77777777" w:rsidR="00DA1722" w:rsidRPr="00DA1722" w:rsidRDefault="00DA1722" w:rsidP="00DA1722">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05E27076" w14:textId="2B05B76C" w:rsidR="00DA1722" w:rsidRDefault="00DA1722" w:rsidP="00DA1722">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DA1722">
        <w:rPr>
          <w:rFonts w:ascii="Calibri" w:eastAsia="Times New Roman" w:hAnsi="Calibri" w:cs="Calibri"/>
          <w:color w:val="4472C4" w:themeColor="accent1"/>
          <w:sz w:val="22"/>
          <w:szCs w:val="22"/>
          <w:lang w:val="en-US"/>
        </w:rPr>
        <w:t>FFS whether the DU triggered deactivation of RVQoE reporting over F1 pertains only to the present application session</w:t>
      </w:r>
    </w:p>
    <w:p w14:paraId="51A29D3A" w14:textId="77777777" w:rsidR="00DA1722" w:rsidRDefault="00DA1722" w:rsidP="00354980">
      <w:pPr>
        <w:spacing w:after="0"/>
        <w:rPr>
          <w:rFonts w:ascii="Calibri" w:eastAsia="Times New Roman" w:hAnsi="Calibri" w:cs="Calibri"/>
          <w:sz w:val="22"/>
          <w:szCs w:val="22"/>
          <w:lang w:val="en-US"/>
        </w:rPr>
      </w:pPr>
    </w:p>
    <w:p w14:paraId="5B0E7E2C" w14:textId="0B9CE6DA" w:rsidR="00BD4687" w:rsidRDefault="00714010" w:rsidP="00354980">
      <w:pPr>
        <w:spacing w:after="0"/>
        <w:rPr>
          <w:rFonts w:ascii="Calibri" w:eastAsia="Times New Roman" w:hAnsi="Calibri" w:cs="Calibri"/>
          <w:sz w:val="22"/>
          <w:szCs w:val="22"/>
          <w:lang w:val="en-US"/>
        </w:rPr>
      </w:pPr>
      <w:r>
        <w:rPr>
          <w:rFonts w:ascii="Calibri" w:eastAsia="Times New Roman" w:hAnsi="Calibri" w:cs="Calibri"/>
          <w:sz w:val="22"/>
          <w:szCs w:val="22"/>
          <w:lang w:val="en-US"/>
        </w:rPr>
        <w:t>In Rel-17, we defined a F1AP message QOE INFORM</w:t>
      </w:r>
      <w:r w:rsidR="00BD4687">
        <w:rPr>
          <w:rFonts w:ascii="Calibri" w:eastAsia="Times New Roman" w:hAnsi="Calibri" w:cs="Calibri"/>
          <w:sz w:val="22"/>
          <w:szCs w:val="22"/>
          <w:lang w:val="en-US"/>
        </w:rPr>
        <w:t>AT</w:t>
      </w:r>
      <w:r>
        <w:rPr>
          <w:rFonts w:ascii="Calibri" w:eastAsia="Times New Roman" w:hAnsi="Calibri" w:cs="Calibri"/>
          <w:sz w:val="22"/>
          <w:szCs w:val="22"/>
          <w:lang w:val="en-US"/>
        </w:rPr>
        <w:t>ION TRANSFER which is sent from gNB-CU to gNB-DU</w:t>
      </w:r>
      <w:r w:rsidR="00BD4687">
        <w:rPr>
          <w:rFonts w:ascii="Calibri" w:eastAsia="Times New Roman" w:hAnsi="Calibri" w:cs="Calibri"/>
          <w:sz w:val="22"/>
          <w:szCs w:val="22"/>
          <w:lang w:val="en-US"/>
        </w:rPr>
        <w:t xml:space="preserve"> to convey the RVQoE metrics. The F1AP message can also include other radio resource related details, e.g., DRB ID used by the application session so that the scheduler in gNB-DU can </w:t>
      </w:r>
      <w:r w:rsidR="0044351C">
        <w:rPr>
          <w:rFonts w:ascii="Calibri" w:eastAsia="Times New Roman" w:hAnsi="Calibri" w:cs="Calibri"/>
          <w:sz w:val="22"/>
          <w:szCs w:val="22"/>
          <w:lang w:val="en-US"/>
        </w:rPr>
        <w:t xml:space="preserve">perform </w:t>
      </w:r>
      <w:r w:rsidR="00BD4687">
        <w:rPr>
          <w:rFonts w:ascii="Calibri" w:eastAsia="Times New Roman" w:hAnsi="Calibri" w:cs="Calibri"/>
          <w:sz w:val="22"/>
          <w:szCs w:val="22"/>
          <w:lang w:val="en-US"/>
        </w:rPr>
        <w:t xml:space="preserve">appropriate optimizations. </w:t>
      </w:r>
      <w:r w:rsidR="003C7E90">
        <w:rPr>
          <w:rFonts w:ascii="Calibri" w:eastAsia="Times New Roman" w:hAnsi="Calibri" w:cs="Calibri"/>
          <w:sz w:val="22"/>
          <w:szCs w:val="22"/>
          <w:lang w:val="en-US"/>
        </w:rPr>
        <w:t>The F1AP message structure is shown below.</w:t>
      </w:r>
    </w:p>
    <w:p w14:paraId="0063C2C8" w14:textId="77777777" w:rsidR="003C7E90" w:rsidRDefault="003C7E90" w:rsidP="00354980">
      <w:pPr>
        <w:spacing w:after="0"/>
        <w:rPr>
          <w:rFonts w:ascii="Calibri" w:eastAsia="Times New Roman" w:hAnsi="Calibri" w:cs="Calibri"/>
          <w:sz w:val="22"/>
          <w:szCs w:val="22"/>
          <w:lang w:val="en-US"/>
        </w:rPr>
      </w:pPr>
    </w:p>
    <w:p w14:paraId="14D533F6" w14:textId="77777777" w:rsidR="003C7E90" w:rsidRDefault="003C7E90" w:rsidP="003C7E90">
      <w:pPr>
        <w:spacing w:after="0"/>
        <w:rPr>
          <w:rFonts w:ascii="Calibri" w:eastAsia="Times New Roman" w:hAnsi="Calibri" w:cs="Calibri"/>
          <w:sz w:val="22"/>
          <w:szCs w:val="22"/>
          <w:lang w:val="en-US"/>
        </w:rPr>
      </w:pPr>
      <w:bookmarkStart w:id="1" w:name="_Toc121161426"/>
      <w:r w:rsidRPr="005535E5">
        <w:rPr>
          <w:rFonts w:ascii="Calibri" w:eastAsia="Times New Roman" w:hAnsi="Calibri" w:cs="Calibri"/>
          <w:sz w:val="22"/>
          <w:szCs w:val="22"/>
          <w:lang w:val="en-US"/>
        </w:rPr>
        <w:t>9.2.16.</w:t>
      </w:r>
      <w:bookmarkEnd w:id="1"/>
      <w:r w:rsidRPr="005535E5">
        <w:rPr>
          <w:rFonts w:ascii="Calibri" w:eastAsia="Times New Roman" w:hAnsi="Calibri" w:cs="Calibri"/>
          <w:sz w:val="22"/>
          <w:szCs w:val="22"/>
          <w:lang w:val="en-US"/>
        </w:rPr>
        <w:t>1          QOE INFORMATION TRANSFER</w:t>
      </w:r>
    </w:p>
    <w:p w14:paraId="5237293A" w14:textId="77777777" w:rsidR="003C7E90" w:rsidRPr="005535E5" w:rsidRDefault="003C7E90" w:rsidP="003C7E90">
      <w:pPr>
        <w:spacing w:after="0"/>
        <w:rPr>
          <w:rFonts w:ascii="Calibri" w:eastAsia="Times New Roman" w:hAnsi="Calibri" w:cs="Calibri"/>
          <w:sz w:val="22"/>
          <w:szCs w:val="22"/>
          <w:lang w:val="en-US"/>
        </w:rPr>
      </w:pPr>
    </w:p>
    <w:p w14:paraId="29356D24" w14:textId="77777777" w:rsidR="003C7E90" w:rsidRDefault="003C7E90" w:rsidP="003C7E90">
      <w:pPr>
        <w:rPr>
          <w:color w:val="000000"/>
        </w:rPr>
      </w:pPr>
      <w:r>
        <w:rPr>
          <w:color w:val="000000"/>
        </w:rPr>
        <w:t>This message is sent by a gNB-CU to a gNB-DU, to indicate information related to RAN visible QoE.</w:t>
      </w:r>
    </w:p>
    <w:p w14:paraId="01A8B41B" w14:textId="77777777" w:rsidR="003C7E90" w:rsidRDefault="003C7E90" w:rsidP="003C7E90">
      <w:pPr>
        <w:rPr>
          <w:color w:val="000000"/>
        </w:rPr>
      </w:pPr>
      <w:r>
        <w:rPr>
          <w:color w:val="000000"/>
          <w:lang w:val="sv-SE"/>
        </w:rPr>
        <w:t>Direction: gNB-CU </w:t>
      </w:r>
      <w:r>
        <w:rPr>
          <w:rFonts w:ascii="Symbol" w:hAnsi="Symbol"/>
          <w:color w:val="000000"/>
        </w:rPr>
        <w:t>®</w:t>
      </w:r>
      <w:r>
        <w:rPr>
          <w:color w:val="000000"/>
          <w:lang w:val="sv-SE"/>
        </w:rPr>
        <w:t> gNB-DU.</w:t>
      </w:r>
    </w:p>
    <w:tbl>
      <w:tblPr>
        <w:tblW w:w="9600" w:type="dxa"/>
        <w:tblInd w:w="-60" w:type="dxa"/>
        <w:tblCellMar>
          <w:left w:w="0" w:type="dxa"/>
          <w:right w:w="0" w:type="dxa"/>
        </w:tblCellMar>
        <w:tblLook w:val="04A0" w:firstRow="1" w:lastRow="0" w:firstColumn="1" w:lastColumn="0" w:noHBand="0" w:noVBand="1"/>
      </w:tblPr>
      <w:tblGrid>
        <w:gridCol w:w="1636"/>
        <w:gridCol w:w="1017"/>
        <w:gridCol w:w="963"/>
        <w:gridCol w:w="2578"/>
        <w:gridCol w:w="1331"/>
        <w:gridCol w:w="1037"/>
        <w:gridCol w:w="1038"/>
      </w:tblGrid>
      <w:tr w:rsidR="003C7E90" w14:paraId="3CC4C08B" w14:textId="77777777" w:rsidTr="000D7CE3">
        <w:trPr>
          <w:trHeight w:val="402"/>
        </w:trPr>
        <w:tc>
          <w:tcPr>
            <w:tcW w:w="23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1221DC" w14:textId="77777777" w:rsidR="003C7E90" w:rsidRDefault="003C7E90"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IE/Group Name</w:t>
            </w:r>
          </w:p>
        </w:tc>
        <w:tc>
          <w:tcPr>
            <w:tcW w:w="10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A9DBA7" w14:textId="77777777" w:rsidR="003C7E90" w:rsidRDefault="003C7E90"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Presence</w:t>
            </w:r>
          </w:p>
        </w:tc>
        <w:tc>
          <w:tcPr>
            <w:tcW w:w="1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5C55BC" w14:textId="77777777" w:rsidR="003C7E90" w:rsidRDefault="003C7E90"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Range</w:t>
            </w:r>
          </w:p>
        </w:tc>
        <w:tc>
          <w:tcPr>
            <w:tcW w:w="11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51CC64" w14:textId="77777777" w:rsidR="003C7E90" w:rsidRDefault="003C7E90"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 type and reference</w:t>
            </w:r>
          </w:p>
        </w:tc>
        <w:tc>
          <w:tcPr>
            <w:tcW w:w="16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1AC98F" w14:textId="77777777" w:rsidR="003C7E90" w:rsidRDefault="003C7E90"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Semantics description</w:t>
            </w:r>
          </w:p>
        </w:tc>
        <w:tc>
          <w:tcPr>
            <w:tcW w:w="9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B33364" w14:textId="77777777" w:rsidR="003C7E90" w:rsidRDefault="003C7E90"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Criticality</w:t>
            </w:r>
          </w:p>
        </w:tc>
        <w:tc>
          <w:tcPr>
            <w:tcW w:w="10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C73EE5" w14:textId="77777777" w:rsidR="003C7E90" w:rsidRDefault="003C7E90"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Assigned Criticality</w:t>
            </w:r>
          </w:p>
        </w:tc>
      </w:tr>
      <w:tr w:rsidR="003C7E90" w14:paraId="075A82B6" w14:textId="77777777" w:rsidTr="000D7CE3">
        <w:trPr>
          <w:trHeight w:val="205"/>
        </w:trPr>
        <w:tc>
          <w:tcPr>
            <w:tcW w:w="2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1B56F5"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Message Type</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2AE3D344"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398" w:type="dxa"/>
            <w:tcBorders>
              <w:top w:val="nil"/>
              <w:left w:val="nil"/>
              <w:bottom w:val="single" w:sz="8" w:space="0" w:color="auto"/>
              <w:right w:val="single" w:sz="8" w:space="0" w:color="auto"/>
            </w:tcBorders>
            <w:tcMar>
              <w:top w:w="0" w:type="dxa"/>
              <w:left w:w="108" w:type="dxa"/>
              <w:bottom w:w="0" w:type="dxa"/>
              <w:right w:w="108" w:type="dxa"/>
            </w:tcMar>
            <w:hideMark/>
          </w:tcPr>
          <w:p w14:paraId="012C9E84"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27C9D405"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9.3.1.1</w:t>
            </w:r>
          </w:p>
        </w:tc>
        <w:tc>
          <w:tcPr>
            <w:tcW w:w="1649" w:type="dxa"/>
            <w:tcBorders>
              <w:top w:val="nil"/>
              <w:left w:val="nil"/>
              <w:bottom w:val="single" w:sz="8" w:space="0" w:color="auto"/>
              <w:right w:val="single" w:sz="8" w:space="0" w:color="auto"/>
            </w:tcBorders>
            <w:tcMar>
              <w:top w:w="0" w:type="dxa"/>
              <w:left w:w="108" w:type="dxa"/>
              <w:bottom w:w="0" w:type="dxa"/>
              <w:right w:w="108" w:type="dxa"/>
            </w:tcMar>
            <w:hideMark/>
          </w:tcPr>
          <w:p w14:paraId="04D781CA"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989" w:type="dxa"/>
            <w:tcBorders>
              <w:top w:val="nil"/>
              <w:left w:val="nil"/>
              <w:bottom w:val="single" w:sz="8" w:space="0" w:color="auto"/>
              <w:right w:val="single" w:sz="8" w:space="0" w:color="auto"/>
            </w:tcBorders>
            <w:tcMar>
              <w:top w:w="0" w:type="dxa"/>
              <w:left w:w="108" w:type="dxa"/>
              <w:bottom w:w="0" w:type="dxa"/>
              <w:right w:w="108" w:type="dxa"/>
            </w:tcMar>
            <w:hideMark/>
          </w:tcPr>
          <w:p w14:paraId="5A9AC350" w14:textId="77777777" w:rsidR="003C7E90" w:rsidRDefault="003C7E90"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14:paraId="7E43BA99" w14:textId="77777777" w:rsidR="003C7E90" w:rsidRDefault="003C7E90"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3C7E90" w14:paraId="008EED2B" w14:textId="77777777" w:rsidTr="000D7CE3">
        <w:trPr>
          <w:trHeight w:val="226"/>
        </w:trPr>
        <w:tc>
          <w:tcPr>
            <w:tcW w:w="2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552ECC"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gNB-CU UE F1AP ID</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7CF1282A"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398" w:type="dxa"/>
            <w:tcBorders>
              <w:top w:val="nil"/>
              <w:left w:val="nil"/>
              <w:bottom w:val="single" w:sz="8" w:space="0" w:color="auto"/>
              <w:right w:val="single" w:sz="8" w:space="0" w:color="auto"/>
            </w:tcBorders>
            <w:tcMar>
              <w:top w:w="0" w:type="dxa"/>
              <w:left w:w="108" w:type="dxa"/>
              <w:bottom w:w="0" w:type="dxa"/>
              <w:right w:w="108" w:type="dxa"/>
            </w:tcMar>
            <w:hideMark/>
          </w:tcPr>
          <w:p w14:paraId="4A9ECE37"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4959F0AB"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9.3.1.4</w:t>
            </w:r>
          </w:p>
        </w:tc>
        <w:tc>
          <w:tcPr>
            <w:tcW w:w="1649" w:type="dxa"/>
            <w:tcBorders>
              <w:top w:val="nil"/>
              <w:left w:val="nil"/>
              <w:bottom w:val="single" w:sz="8" w:space="0" w:color="auto"/>
              <w:right w:val="single" w:sz="8" w:space="0" w:color="auto"/>
            </w:tcBorders>
            <w:tcMar>
              <w:top w:w="0" w:type="dxa"/>
              <w:left w:w="108" w:type="dxa"/>
              <w:bottom w:w="0" w:type="dxa"/>
              <w:right w:w="108" w:type="dxa"/>
            </w:tcMar>
            <w:hideMark/>
          </w:tcPr>
          <w:p w14:paraId="1A729E0D"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989" w:type="dxa"/>
            <w:tcBorders>
              <w:top w:val="nil"/>
              <w:left w:val="nil"/>
              <w:bottom w:val="single" w:sz="8" w:space="0" w:color="auto"/>
              <w:right w:val="single" w:sz="8" w:space="0" w:color="auto"/>
            </w:tcBorders>
            <w:tcMar>
              <w:top w:w="0" w:type="dxa"/>
              <w:left w:w="108" w:type="dxa"/>
              <w:bottom w:w="0" w:type="dxa"/>
              <w:right w:w="108" w:type="dxa"/>
            </w:tcMar>
            <w:hideMark/>
          </w:tcPr>
          <w:p w14:paraId="3A26089A" w14:textId="77777777" w:rsidR="003C7E90" w:rsidRDefault="003C7E90"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14:paraId="6024D868" w14:textId="77777777" w:rsidR="003C7E90" w:rsidRDefault="003C7E90"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reject</w:t>
            </w:r>
          </w:p>
        </w:tc>
      </w:tr>
      <w:tr w:rsidR="003C7E90" w14:paraId="1381DFEE" w14:textId="77777777" w:rsidTr="000D7CE3">
        <w:trPr>
          <w:trHeight w:val="226"/>
        </w:trPr>
        <w:tc>
          <w:tcPr>
            <w:tcW w:w="2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D46DE"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fr-FR"/>
              </w:rPr>
              <w:t>gNB-DU UE F1AP ID</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120467A1"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398" w:type="dxa"/>
            <w:tcBorders>
              <w:top w:val="nil"/>
              <w:left w:val="nil"/>
              <w:bottom w:val="single" w:sz="8" w:space="0" w:color="auto"/>
              <w:right w:val="single" w:sz="8" w:space="0" w:color="auto"/>
            </w:tcBorders>
            <w:tcMar>
              <w:top w:w="0" w:type="dxa"/>
              <w:left w:w="108" w:type="dxa"/>
              <w:bottom w:w="0" w:type="dxa"/>
              <w:right w:w="108" w:type="dxa"/>
            </w:tcMar>
            <w:hideMark/>
          </w:tcPr>
          <w:p w14:paraId="4E083435"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2BC7AFFA"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9.3.1.5</w:t>
            </w:r>
          </w:p>
        </w:tc>
        <w:tc>
          <w:tcPr>
            <w:tcW w:w="1649" w:type="dxa"/>
            <w:tcBorders>
              <w:top w:val="nil"/>
              <w:left w:val="nil"/>
              <w:bottom w:val="single" w:sz="8" w:space="0" w:color="auto"/>
              <w:right w:val="single" w:sz="8" w:space="0" w:color="auto"/>
            </w:tcBorders>
            <w:tcMar>
              <w:top w:w="0" w:type="dxa"/>
              <w:left w:w="108" w:type="dxa"/>
              <w:bottom w:w="0" w:type="dxa"/>
              <w:right w:w="108" w:type="dxa"/>
            </w:tcMar>
            <w:hideMark/>
          </w:tcPr>
          <w:p w14:paraId="26B6C3E4"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989" w:type="dxa"/>
            <w:tcBorders>
              <w:top w:val="nil"/>
              <w:left w:val="nil"/>
              <w:bottom w:val="single" w:sz="8" w:space="0" w:color="auto"/>
              <w:right w:val="single" w:sz="8" w:space="0" w:color="auto"/>
            </w:tcBorders>
            <w:tcMar>
              <w:top w:w="0" w:type="dxa"/>
              <w:left w:w="108" w:type="dxa"/>
              <w:bottom w:w="0" w:type="dxa"/>
              <w:right w:w="108" w:type="dxa"/>
            </w:tcMar>
            <w:hideMark/>
          </w:tcPr>
          <w:p w14:paraId="4C85D2E6" w14:textId="77777777" w:rsidR="003C7E90" w:rsidRDefault="003C7E90"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14:paraId="44F8AFED" w14:textId="77777777" w:rsidR="003C7E90" w:rsidRDefault="003C7E90"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reject</w:t>
            </w:r>
          </w:p>
        </w:tc>
      </w:tr>
      <w:tr w:rsidR="003C7E90" w14:paraId="1FEA8D25" w14:textId="77777777" w:rsidTr="000D7CE3">
        <w:trPr>
          <w:trHeight w:val="205"/>
        </w:trPr>
        <w:tc>
          <w:tcPr>
            <w:tcW w:w="2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87637"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b/>
                <w:bCs/>
                <w:sz w:val="18"/>
                <w:szCs w:val="18"/>
                <w:lang w:val="en-GB"/>
              </w:rPr>
              <w:t>QoE Information List</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405C0422"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398" w:type="dxa"/>
            <w:tcBorders>
              <w:top w:val="nil"/>
              <w:left w:val="nil"/>
              <w:bottom w:val="single" w:sz="8" w:space="0" w:color="auto"/>
              <w:right w:val="single" w:sz="8" w:space="0" w:color="auto"/>
            </w:tcBorders>
            <w:tcMar>
              <w:top w:w="0" w:type="dxa"/>
              <w:left w:w="108" w:type="dxa"/>
              <w:bottom w:w="0" w:type="dxa"/>
              <w:right w:w="108" w:type="dxa"/>
            </w:tcMar>
            <w:hideMark/>
          </w:tcPr>
          <w:p w14:paraId="25175269"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0AC1599E"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i/>
                <w:iCs/>
                <w:sz w:val="18"/>
                <w:szCs w:val="18"/>
                <w:lang w:val="en-GB"/>
              </w:rPr>
              <w:t>0..1</w:t>
            </w:r>
          </w:p>
        </w:tc>
        <w:tc>
          <w:tcPr>
            <w:tcW w:w="1649" w:type="dxa"/>
            <w:tcBorders>
              <w:top w:val="nil"/>
              <w:left w:val="nil"/>
              <w:bottom w:val="single" w:sz="8" w:space="0" w:color="auto"/>
              <w:right w:val="single" w:sz="8" w:space="0" w:color="auto"/>
            </w:tcBorders>
            <w:tcMar>
              <w:top w:w="0" w:type="dxa"/>
              <w:left w:w="108" w:type="dxa"/>
              <w:bottom w:w="0" w:type="dxa"/>
              <w:right w:w="108" w:type="dxa"/>
            </w:tcMar>
            <w:hideMark/>
          </w:tcPr>
          <w:p w14:paraId="3697C336"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989" w:type="dxa"/>
            <w:tcBorders>
              <w:top w:val="nil"/>
              <w:left w:val="nil"/>
              <w:bottom w:val="single" w:sz="8" w:space="0" w:color="auto"/>
              <w:right w:val="single" w:sz="8" w:space="0" w:color="auto"/>
            </w:tcBorders>
            <w:tcMar>
              <w:top w:w="0" w:type="dxa"/>
              <w:left w:w="108" w:type="dxa"/>
              <w:bottom w:w="0" w:type="dxa"/>
              <w:right w:w="108" w:type="dxa"/>
            </w:tcMar>
            <w:hideMark/>
          </w:tcPr>
          <w:p w14:paraId="7728CD06" w14:textId="77777777" w:rsidR="003C7E90" w:rsidRDefault="003C7E90"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14:paraId="734E5A49" w14:textId="77777777" w:rsidR="003C7E90" w:rsidRDefault="003C7E90"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3C7E90" w14:paraId="55C559EB" w14:textId="77777777" w:rsidTr="000D7CE3">
        <w:trPr>
          <w:trHeight w:val="608"/>
        </w:trPr>
        <w:tc>
          <w:tcPr>
            <w:tcW w:w="2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358A34" w14:textId="77777777" w:rsidR="003C7E90" w:rsidRDefault="003C7E90" w:rsidP="000D7CE3">
            <w:pPr>
              <w:pStyle w:val="tal0"/>
              <w:spacing w:before="0" w:beforeAutospacing="0" w:after="0" w:afterAutospacing="0"/>
              <w:ind w:left="102"/>
              <w:rPr>
                <w:rFonts w:ascii="Arial" w:hAnsi="Arial" w:cs="Arial"/>
                <w:sz w:val="18"/>
                <w:szCs w:val="18"/>
              </w:rPr>
            </w:pPr>
            <w:r>
              <w:rPr>
                <w:rFonts w:ascii="Arial" w:hAnsi="Arial" w:cs="Arial"/>
                <w:b/>
                <w:bCs/>
                <w:sz w:val="18"/>
                <w:szCs w:val="18"/>
                <w:lang w:val="en-GB"/>
              </w:rPr>
              <w:t>&gt;QoE Information Item</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1503A47E"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398" w:type="dxa"/>
            <w:tcBorders>
              <w:top w:val="nil"/>
              <w:left w:val="nil"/>
              <w:bottom w:val="single" w:sz="8" w:space="0" w:color="auto"/>
              <w:right w:val="single" w:sz="8" w:space="0" w:color="auto"/>
            </w:tcBorders>
            <w:tcMar>
              <w:top w:w="0" w:type="dxa"/>
              <w:left w:w="108" w:type="dxa"/>
              <w:bottom w:w="0" w:type="dxa"/>
              <w:right w:w="108" w:type="dxa"/>
            </w:tcMar>
            <w:hideMark/>
          </w:tcPr>
          <w:p w14:paraId="47CA20B5"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30559CAB"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i/>
                <w:iCs/>
                <w:sz w:val="18"/>
                <w:szCs w:val="18"/>
                <w:lang w:val="en-GB"/>
              </w:rPr>
              <w:t>1..&lt;maxnoofQoEInformation&gt;</w:t>
            </w:r>
          </w:p>
        </w:tc>
        <w:tc>
          <w:tcPr>
            <w:tcW w:w="1649" w:type="dxa"/>
            <w:tcBorders>
              <w:top w:val="nil"/>
              <w:left w:val="nil"/>
              <w:bottom w:val="single" w:sz="8" w:space="0" w:color="auto"/>
              <w:right w:val="single" w:sz="8" w:space="0" w:color="auto"/>
            </w:tcBorders>
            <w:tcMar>
              <w:top w:w="0" w:type="dxa"/>
              <w:left w:w="108" w:type="dxa"/>
              <w:bottom w:w="0" w:type="dxa"/>
              <w:right w:w="108" w:type="dxa"/>
            </w:tcMar>
            <w:hideMark/>
          </w:tcPr>
          <w:p w14:paraId="5F680896"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989" w:type="dxa"/>
            <w:tcBorders>
              <w:top w:val="nil"/>
              <w:left w:val="nil"/>
              <w:bottom w:val="single" w:sz="8" w:space="0" w:color="auto"/>
              <w:right w:val="single" w:sz="8" w:space="0" w:color="auto"/>
            </w:tcBorders>
            <w:tcMar>
              <w:top w:w="0" w:type="dxa"/>
              <w:left w:w="108" w:type="dxa"/>
              <w:bottom w:w="0" w:type="dxa"/>
              <w:right w:w="108" w:type="dxa"/>
            </w:tcMar>
            <w:hideMark/>
          </w:tcPr>
          <w:p w14:paraId="351E52BC" w14:textId="77777777" w:rsidR="003C7E90" w:rsidRDefault="003C7E90"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Each</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14:paraId="6758D3E1" w14:textId="77777777" w:rsidR="003C7E90" w:rsidRDefault="003C7E90"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3C7E90" w14:paraId="37C56D47" w14:textId="77777777" w:rsidTr="000D7CE3">
        <w:trPr>
          <w:trHeight w:val="205"/>
        </w:trPr>
        <w:tc>
          <w:tcPr>
            <w:tcW w:w="2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177DE4" w14:textId="77777777" w:rsidR="003C7E90" w:rsidRDefault="003C7E90" w:rsidP="000D7CE3">
            <w:pPr>
              <w:pStyle w:val="tal0"/>
              <w:spacing w:before="0" w:beforeAutospacing="0" w:after="0" w:afterAutospacing="0"/>
              <w:ind w:left="198"/>
              <w:rPr>
                <w:rFonts w:ascii="Arial" w:hAnsi="Arial" w:cs="Arial"/>
                <w:sz w:val="18"/>
                <w:szCs w:val="18"/>
              </w:rPr>
            </w:pPr>
            <w:r>
              <w:rPr>
                <w:rFonts w:ascii="Arial" w:hAnsi="Arial" w:cs="Arial"/>
                <w:sz w:val="18"/>
                <w:szCs w:val="18"/>
                <w:lang w:val="en-GB"/>
              </w:rPr>
              <w:t>&gt;&gt;QoE Metrics</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13454E6D"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398" w:type="dxa"/>
            <w:tcBorders>
              <w:top w:val="nil"/>
              <w:left w:val="nil"/>
              <w:bottom w:val="single" w:sz="8" w:space="0" w:color="auto"/>
              <w:right w:val="single" w:sz="8" w:space="0" w:color="auto"/>
            </w:tcBorders>
            <w:tcMar>
              <w:top w:w="0" w:type="dxa"/>
              <w:left w:w="108" w:type="dxa"/>
              <w:bottom w:w="0" w:type="dxa"/>
              <w:right w:w="108" w:type="dxa"/>
            </w:tcMar>
            <w:hideMark/>
          </w:tcPr>
          <w:p w14:paraId="64DE60B8"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42316ABB"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9.3.1.260</w:t>
            </w:r>
          </w:p>
        </w:tc>
        <w:tc>
          <w:tcPr>
            <w:tcW w:w="1649" w:type="dxa"/>
            <w:tcBorders>
              <w:top w:val="nil"/>
              <w:left w:val="nil"/>
              <w:bottom w:val="single" w:sz="8" w:space="0" w:color="auto"/>
              <w:right w:val="single" w:sz="8" w:space="0" w:color="auto"/>
            </w:tcBorders>
            <w:tcMar>
              <w:top w:w="0" w:type="dxa"/>
              <w:left w:w="108" w:type="dxa"/>
              <w:bottom w:w="0" w:type="dxa"/>
              <w:right w:w="108" w:type="dxa"/>
            </w:tcMar>
            <w:hideMark/>
          </w:tcPr>
          <w:p w14:paraId="7CD85362"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989" w:type="dxa"/>
            <w:tcBorders>
              <w:top w:val="nil"/>
              <w:left w:val="nil"/>
              <w:bottom w:val="single" w:sz="8" w:space="0" w:color="auto"/>
              <w:right w:val="single" w:sz="8" w:space="0" w:color="auto"/>
            </w:tcBorders>
            <w:tcMar>
              <w:top w:w="0" w:type="dxa"/>
              <w:left w:w="108" w:type="dxa"/>
              <w:bottom w:w="0" w:type="dxa"/>
              <w:right w:w="108" w:type="dxa"/>
            </w:tcMar>
            <w:hideMark/>
          </w:tcPr>
          <w:p w14:paraId="1203D36F" w14:textId="77777777" w:rsidR="003C7E90" w:rsidRDefault="003C7E90"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14:paraId="37D3147A" w14:textId="77777777" w:rsidR="003C7E90" w:rsidRDefault="003C7E90"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r>
    </w:tbl>
    <w:p w14:paraId="2BFE1848" w14:textId="77777777" w:rsidR="003C7E90" w:rsidRDefault="003C7E90" w:rsidP="003C7E90">
      <w:pPr>
        <w:rPr>
          <w:color w:val="000000"/>
        </w:rPr>
      </w:pPr>
      <w:r>
        <w:rPr>
          <w:color w:val="000000"/>
          <w:lang w:val="sv-SE"/>
        </w:rPr>
        <w:t> </w:t>
      </w:r>
    </w:p>
    <w:tbl>
      <w:tblPr>
        <w:tblW w:w="9360" w:type="dxa"/>
        <w:jc w:val="center"/>
        <w:tblCellMar>
          <w:left w:w="0" w:type="dxa"/>
          <w:right w:w="0" w:type="dxa"/>
        </w:tblCellMar>
        <w:tblLook w:val="04A0" w:firstRow="1" w:lastRow="0" w:firstColumn="1" w:lastColumn="0" w:noHBand="0" w:noVBand="1"/>
      </w:tblPr>
      <w:tblGrid>
        <w:gridCol w:w="3688"/>
        <w:gridCol w:w="5672"/>
      </w:tblGrid>
      <w:tr w:rsidR="003C7E90" w14:paraId="3BE7213A" w14:textId="77777777" w:rsidTr="000D7CE3">
        <w:trPr>
          <w:jc w:val="center"/>
        </w:trPr>
        <w:tc>
          <w:tcPr>
            <w:tcW w:w="36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F653AD" w14:textId="77777777" w:rsidR="003C7E90" w:rsidRDefault="003C7E90"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Range bound</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F505A9" w14:textId="77777777" w:rsidR="003C7E90" w:rsidRDefault="003C7E90"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Explanation</w:t>
            </w:r>
          </w:p>
        </w:tc>
      </w:tr>
      <w:tr w:rsidR="003C7E90" w14:paraId="3486353F" w14:textId="77777777" w:rsidTr="000D7CE3">
        <w:trPr>
          <w:jc w:val="center"/>
        </w:trPr>
        <w:tc>
          <w:tcPr>
            <w:tcW w:w="36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F2793A"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lastRenderedPageBreak/>
              <w:t>maxnoofQoEInformation</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6D2160A9"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Maximum no. of QoE information for one UE, the maximum value is 16.</w:t>
            </w:r>
          </w:p>
        </w:tc>
      </w:tr>
    </w:tbl>
    <w:p w14:paraId="1BB5837C" w14:textId="77777777" w:rsidR="003C7E90" w:rsidRDefault="003C7E90" w:rsidP="003C7E90">
      <w:pPr>
        <w:rPr>
          <w:color w:val="000000"/>
        </w:rPr>
      </w:pPr>
      <w:r>
        <w:rPr>
          <w:color w:val="000000"/>
        </w:rPr>
        <w:t> </w:t>
      </w:r>
    </w:p>
    <w:p w14:paraId="6538F04E" w14:textId="0BF61606" w:rsidR="009C45E4" w:rsidRDefault="00841E08" w:rsidP="009C45E4">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our understanding, the motivation to </w:t>
      </w:r>
      <w:r w:rsidRPr="00841E08">
        <w:rPr>
          <w:rFonts w:ascii="Calibri" w:eastAsia="Times New Roman" w:hAnsi="Calibri" w:cs="Calibri"/>
          <w:sz w:val="22"/>
          <w:szCs w:val="22"/>
          <w:lang w:val="en-US"/>
        </w:rPr>
        <w:t>introduce the deactivation of RAN visible QoE information transfer via F1</w:t>
      </w:r>
      <w:r>
        <w:rPr>
          <w:rFonts w:ascii="Calibri" w:eastAsia="Times New Roman" w:hAnsi="Calibri" w:cs="Calibri"/>
          <w:sz w:val="22"/>
          <w:szCs w:val="22"/>
          <w:lang w:val="en-US"/>
        </w:rPr>
        <w:t xml:space="preserve"> </w:t>
      </w:r>
      <w:r w:rsidR="00B035AD">
        <w:rPr>
          <w:rFonts w:ascii="Calibri" w:eastAsia="Times New Roman" w:hAnsi="Calibri" w:cs="Calibri"/>
          <w:sz w:val="22"/>
          <w:szCs w:val="22"/>
          <w:lang w:val="en-US"/>
        </w:rPr>
        <w:t xml:space="preserve">in Rel-18 </w:t>
      </w:r>
      <w:r>
        <w:rPr>
          <w:rFonts w:ascii="Calibri" w:eastAsia="Times New Roman" w:hAnsi="Calibri" w:cs="Calibri"/>
          <w:sz w:val="22"/>
          <w:szCs w:val="22"/>
          <w:lang w:val="en-US"/>
        </w:rPr>
        <w:t>is because the</w:t>
      </w:r>
      <w:r w:rsidR="00BD4687">
        <w:rPr>
          <w:rFonts w:ascii="Calibri" w:eastAsia="Times New Roman" w:hAnsi="Calibri" w:cs="Calibri"/>
          <w:sz w:val="22"/>
          <w:szCs w:val="22"/>
          <w:lang w:val="en-US"/>
        </w:rPr>
        <w:t xml:space="preserve"> gNB-DU</w:t>
      </w:r>
      <w:r>
        <w:rPr>
          <w:rFonts w:ascii="Calibri" w:eastAsia="Times New Roman" w:hAnsi="Calibri" w:cs="Calibri"/>
          <w:sz w:val="22"/>
          <w:szCs w:val="22"/>
          <w:lang w:val="en-US"/>
        </w:rPr>
        <w:t xml:space="preserve"> (the consumer)</w:t>
      </w:r>
      <w:r w:rsidR="00D83FE9">
        <w:rPr>
          <w:rFonts w:ascii="Calibri" w:eastAsia="Times New Roman" w:hAnsi="Calibri" w:cs="Calibri"/>
          <w:sz w:val="22"/>
          <w:szCs w:val="22"/>
          <w:lang w:val="en-US"/>
        </w:rPr>
        <w:t xml:space="preserve"> </w:t>
      </w:r>
      <w:r w:rsidR="00295A5F">
        <w:rPr>
          <w:rFonts w:ascii="Calibri" w:eastAsia="Times New Roman" w:hAnsi="Calibri" w:cs="Calibri"/>
          <w:sz w:val="22"/>
          <w:szCs w:val="22"/>
          <w:lang w:val="en-US"/>
        </w:rPr>
        <w:t xml:space="preserve">currently </w:t>
      </w:r>
      <w:r w:rsidR="00246B28">
        <w:rPr>
          <w:rFonts w:ascii="Calibri" w:eastAsia="Times New Roman" w:hAnsi="Calibri" w:cs="Calibri"/>
          <w:sz w:val="22"/>
          <w:szCs w:val="22"/>
          <w:lang w:val="en-US"/>
        </w:rPr>
        <w:t>have no control on</w:t>
      </w:r>
      <w:r w:rsidR="00D83FE9">
        <w:rPr>
          <w:rFonts w:ascii="Calibri" w:eastAsia="Times New Roman" w:hAnsi="Calibri" w:cs="Calibri"/>
          <w:sz w:val="22"/>
          <w:szCs w:val="22"/>
          <w:lang w:val="en-US"/>
        </w:rPr>
        <w:t xml:space="preserve"> </w:t>
      </w:r>
      <w:r w:rsidR="00295A5F">
        <w:rPr>
          <w:rFonts w:ascii="Calibri" w:eastAsia="Times New Roman" w:hAnsi="Calibri" w:cs="Calibri"/>
          <w:sz w:val="22"/>
          <w:szCs w:val="22"/>
          <w:lang w:val="en-US"/>
        </w:rPr>
        <w:t>whether</w:t>
      </w:r>
      <w:r w:rsidR="00D83FE9">
        <w:rPr>
          <w:rFonts w:ascii="Calibri" w:eastAsia="Times New Roman" w:hAnsi="Calibri" w:cs="Calibri"/>
          <w:sz w:val="22"/>
          <w:szCs w:val="22"/>
          <w:lang w:val="en-US"/>
        </w:rPr>
        <w:t xml:space="preserve"> it receive</w:t>
      </w:r>
      <w:r w:rsidR="00246B28">
        <w:rPr>
          <w:rFonts w:ascii="Calibri" w:eastAsia="Times New Roman" w:hAnsi="Calibri" w:cs="Calibri"/>
          <w:sz w:val="22"/>
          <w:szCs w:val="22"/>
          <w:lang w:val="en-US"/>
        </w:rPr>
        <w:t xml:space="preserve">s the </w:t>
      </w:r>
      <w:r w:rsidR="00D83FE9">
        <w:rPr>
          <w:rFonts w:ascii="Calibri" w:eastAsia="Times New Roman" w:hAnsi="Calibri" w:cs="Calibri"/>
          <w:sz w:val="22"/>
          <w:szCs w:val="22"/>
          <w:lang w:val="en-US"/>
        </w:rPr>
        <w:t>RVQoE reports</w:t>
      </w:r>
      <w:r w:rsidR="00DB3C43">
        <w:rPr>
          <w:rFonts w:ascii="Calibri" w:eastAsia="Times New Roman" w:hAnsi="Calibri" w:cs="Calibri"/>
          <w:sz w:val="22"/>
          <w:szCs w:val="22"/>
          <w:lang w:val="en-US"/>
        </w:rPr>
        <w:t xml:space="preserve"> and which ones it receives.</w:t>
      </w:r>
      <w:r w:rsidR="009C45E4" w:rsidRPr="009C45E4">
        <w:rPr>
          <w:rFonts w:ascii="Calibri" w:eastAsia="Times New Roman" w:hAnsi="Calibri" w:cs="Calibri"/>
          <w:sz w:val="22"/>
          <w:szCs w:val="22"/>
          <w:lang w:val="en-US"/>
        </w:rPr>
        <w:t xml:space="preserve"> </w:t>
      </w:r>
      <w:r w:rsidR="009C45E4">
        <w:rPr>
          <w:rFonts w:ascii="Calibri" w:eastAsia="Times New Roman" w:hAnsi="Calibri" w:cs="Calibri"/>
          <w:sz w:val="22"/>
          <w:szCs w:val="22"/>
          <w:lang w:val="en-US"/>
        </w:rPr>
        <w:t xml:space="preserve">But </w:t>
      </w:r>
      <w:r w:rsidR="00EF6734">
        <w:rPr>
          <w:rFonts w:ascii="Calibri" w:eastAsia="Times New Roman" w:hAnsi="Calibri" w:cs="Calibri"/>
          <w:sz w:val="22"/>
          <w:szCs w:val="22"/>
          <w:lang w:val="en-US"/>
        </w:rPr>
        <w:t>it</w:t>
      </w:r>
      <w:r w:rsidR="009C45E4">
        <w:rPr>
          <w:rFonts w:ascii="Calibri" w:eastAsia="Times New Roman" w:hAnsi="Calibri" w:cs="Calibri"/>
          <w:sz w:val="22"/>
          <w:szCs w:val="22"/>
          <w:lang w:val="en-US"/>
        </w:rPr>
        <w:t xml:space="preserve"> was not clear last meeting </w:t>
      </w:r>
      <w:r w:rsidR="002522FB">
        <w:rPr>
          <w:rFonts w:ascii="Calibri" w:eastAsia="Times New Roman" w:hAnsi="Calibri" w:cs="Calibri"/>
          <w:sz w:val="22"/>
          <w:szCs w:val="22"/>
          <w:lang w:val="en-US"/>
        </w:rPr>
        <w:t xml:space="preserve">on the scope </w:t>
      </w:r>
      <w:r w:rsidR="00C8579F">
        <w:rPr>
          <w:rFonts w:ascii="Calibri" w:eastAsia="Times New Roman" w:hAnsi="Calibri" w:cs="Calibri"/>
          <w:sz w:val="22"/>
          <w:szCs w:val="22"/>
          <w:lang w:val="en-US"/>
        </w:rPr>
        <w:t>of deactivation</w:t>
      </w:r>
      <w:r w:rsidR="009C45E4" w:rsidRPr="00233FA5">
        <w:rPr>
          <w:rFonts w:ascii="Calibri" w:eastAsia="Times New Roman" w:hAnsi="Calibri" w:cs="Calibri"/>
          <w:sz w:val="22"/>
          <w:szCs w:val="22"/>
          <w:lang w:val="en-US"/>
        </w:rPr>
        <w:t xml:space="preserve"> of RVQoE reporting over F1 </w:t>
      </w:r>
      <w:r w:rsidR="002522FB">
        <w:rPr>
          <w:rFonts w:ascii="Calibri" w:eastAsia="Times New Roman" w:hAnsi="Calibri" w:cs="Calibri"/>
          <w:sz w:val="22"/>
          <w:szCs w:val="22"/>
          <w:lang w:val="en-US"/>
        </w:rPr>
        <w:t>and we therefore have the following proposal</w:t>
      </w:r>
      <w:r w:rsidR="009C45E4">
        <w:rPr>
          <w:rFonts w:ascii="Calibri" w:eastAsia="Times New Roman" w:hAnsi="Calibri" w:cs="Calibri"/>
          <w:sz w:val="22"/>
          <w:szCs w:val="22"/>
          <w:lang w:val="en-US"/>
        </w:rPr>
        <w:t>.</w:t>
      </w:r>
    </w:p>
    <w:p w14:paraId="0D056FDE" w14:textId="5467C02B" w:rsidR="00295A5F" w:rsidRDefault="00295A5F" w:rsidP="00354980">
      <w:pPr>
        <w:spacing w:after="0"/>
        <w:rPr>
          <w:rFonts w:ascii="Calibri" w:eastAsia="Times New Roman" w:hAnsi="Calibri" w:cs="Calibri"/>
          <w:sz w:val="22"/>
          <w:szCs w:val="22"/>
          <w:lang w:val="en-US"/>
        </w:rPr>
      </w:pPr>
    </w:p>
    <w:p w14:paraId="6619890C" w14:textId="0A061ABE" w:rsidR="00937D42" w:rsidRDefault="00651AC6" w:rsidP="002522FB">
      <w:pPr>
        <w:spacing w:after="0"/>
        <w:contextualSpacing/>
        <w:rPr>
          <w:rFonts w:ascii="Calibri" w:eastAsia="Times New Roman" w:hAnsi="Calibri" w:cs="Calibri"/>
          <w:sz w:val="22"/>
          <w:szCs w:val="22"/>
          <w:lang w:val="en-US"/>
        </w:rPr>
      </w:pPr>
      <w:r w:rsidRPr="00651AC6">
        <w:rPr>
          <w:rFonts w:ascii="Calibri" w:eastAsia="Times New Roman" w:hAnsi="Calibri" w:cs="Calibri"/>
          <w:b/>
          <w:bCs/>
          <w:sz w:val="22"/>
          <w:szCs w:val="22"/>
          <w:lang w:val="en-US"/>
        </w:rPr>
        <w:t>Proposal</w:t>
      </w:r>
      <w:r w:rsidR="001E6218">
        <w:rPr>
          <w:rFonts w:ascii="Calibri" w:eastAsia="Times New Roman" w:hAnsi="Calibri" w:cs="Calibri"/>
          <w:b/>
          <w:bCs/>
          <w:sz w:val="22"/>
          <w:szCs w:val="22"/>
          <w:lang w:val="en-US"/>
        </w:rPr>
        <w:t xml:space="preserve"> 4</w:t>
      </w:r>
      <w:r>
        <w:rPr>
          <w:rFonts w:ascii="Calibri" w:eastAsia="Times New Roman" w:hAnsi="Calibri" w:cs="Calibri"/>
          <w:sz w:val="22"/>
          <w:szCs w:val="22"/>
          <w:lang w:val="en-US"/>
        </w:rPr>
        <w:t xml:space="preserve">: </w:t>
      </w:r>
      <w:r w:rsidR="00A11AA6">
        <w:rPr>
          <w:rFonts w:ascii="Calibri" w:eastAsia="Times New Roman" w:hAnsi="Calibri" w:cs="Calibri"/>
          <w:sz w:val="22"/>
          <w:szCs w:val="22"/>
          <w:lang w:val="en-US"/>
        </w:rPr>
        <w:t>RAN3 should discuss the scope of deactivation of RVQoE reports over F1AP i.e., a</w:t>
      </w:r>
      <w:r w:rsidR="00DA7B47">
        <w:rPr>
          <w:rFonts w:ascii="Calibri" w:eastAsia="Times New Roman" w:hAnsi="Calibri" w:cs="Calibri"/>
          <w:sz w:val="22"/>
          <w:szCs w:val="22"/>
          <w:lang w:val="en-US"/>
        </w:rPr>
        <w:t xml:space="preserve"> gNB-DU doesn’t want to receive the QOE INFORMATION TRANSFER </w:t>
      </w:r>
    </w:p>
    <w:p w14:paraId="28D49E58" w14:textId="7406C4D4" w:rsidR="00DA7B47" w:rsidRPr="00651AC6" w:rsidRDefault="00937D42" w:rsidP="00651AC6">
      <w:pPr>
        <w:pStyle w:val="ListParagraph"/>
        <w:numPr>
          <w:ilvl w:val="0"/>
          <w:numId w:val="11"/>
        </w:numPr>
        <w:spacing w:after="0"/>
        <w:rPr>
          <w:rFonts w:ascii="Calibri" w:eastAsia="Times New Roman" w:hAnsi="Calibri" w:cs="Calibri"/>
          <w:sz w:val="22"/>
          <w:szCs w:val="22"/>
          <w:lang w:val="en-US"/>
        </w:rPr>
      </w:pPr>
      <w:r w:rsidRPr="00651AC6">
        <w:rPr>
          <w:rFonts w:ascii="Calibri" w:eastAsia="Times New Roman" w:hAnsi="Calibri" w:cs="Calibri"/>
          <w:sz w:val="22"/>
          <w:szCs w:val="22"/>
          <w:lang w:val="en-US"/>
        </w:rPr>
        <w:t xml:space="preserve">Option 1: </w:t>
      </w:r>
      <w:r w:rsidR="00DA7B47" w:rsidRPr="00651AC6">
        <w:rPr>
          <w:rFonts w:ascii="Calibri" w:eastAsia="Times New Roman" w:hAnsi="Calibri" w:cs="Calibri"/>
          <w:sz w:val="22"/>
          <w:szCs w:val="22"/>
          <w:lang w:val="en-US"/>
        </w:rPr>
        <w:t>for all UEs belonging to the gNB-DU (because the gNB-DU is in overload)</w:t>
      </w:r>
    </w:p>
    <w:p w14:paraId="63204F65" w14:textId="5993A80E" w:rsidR="00DA7B47" w:rsidRPr="00651AC6" w:rsidRDefault="00937D42" w:rsidP="00651AC6">
      <w:pPr>
        <w:pStyle w:val="ListParagraph"/>
        <w:numPr>
          <w:ilvl w:val="0"/>
          <w:numId w:val="11"/>
        </w:numPr>
        <w:spacing w:after="0"/>
        <w:rPr>
          <w:rFonts w:ascii="Calibri" w:eastAsia="Times New Roman" w:hAnsi="Calibri" w:cs="Calibri"/>
          <w:sz w:val="22"/>
          <w:szCs w:val="22"/>
          <w:lang w:val="en-US"/>
        </w:rPr>
      </w:pPr>
      <w:r w:rsidRPr="00651AC6">
        <w:rPr>
          <w:rFonts w:ascii="Calibri" w:eastAsia="Times New Roman" w:hAnsi="Calibri" w:cs="Calibri"/>
          <w:sz w:val="22"/>
          <w:szCs w:val="22"/>
          <w:lang w:val="en-US"/>
        </w:rPr>
        <w:t>Option 2:</w:t>
      </w:r>
      <w:r w:rsidR="00DA7B47" w:rsidRPr="00651AC6">
        <w:rPr>
          <w:rFonts w:ascii="Calibri" w:eastAsia="Times New Roman" w:hAnsi="Calibri" w:cs="Calibri"/>
          <w:sz w:val="22"/>
          <w:szCs w:val="22"/>
          <w:lang w:val="en-US"/>
        </w:rPr>
        <w:t xml:space="preserve"> for a specific UE (e.g., if the UE is a cell center UE)</w:t>
      </w:r>
    </w:p>
    <w:p w14:paraId="1B6B9C3B" w14:textId="36C6FC57" w:rsidR="00DA7B47" w:rsidRPr="00651AC6" w:rsidRDefault="00937D42" w:rsidP="00651AC6">
      <w:pPr>
        <w:pStyle w:val="ListParagraph"/>
        <w:numPr>
          <w:ilvl w:val="0"/>
          <w:numId w:val="11"/>
        </w:numPr>
        <w:spacing w:after="0"/>
        <w:rPr>
          <w:rFonts w:ascii="Calibri" w:eastAsia="Times New Roman" w:hAnsi="Calibri" w:cs="Calibri"/>
          <w:sz w:val="22"/>
          <w:szCs w:val="22"/>
          <w:lang w:val="en-US"/>
        </w:rPr>
      </w:pPr>
      <w:r w:rsidRPr="00651AC6">
        <w:rPr>
          <w:rFonts w:ascii="Calibri" w:eastAsia="Times New Roman" w:hAnsi="Calibri" w:cs="Calibri"/>
          <w:sz w:val="22"/>
          <w:szCs w:val="22"/>
          <w:lang w:val="en-US"/>
        </w:rPr>
        <w:t xml:space="preserve">Option 3: </w:t>
      </w:r>
      <w:r w:rsidR="00DA7B47" w:rsidRPr="00651AC6">
        <w:rPr>
          <w:rFonts w:ascii="Calibri" w:eastAsia="Times New Roman" w:hAnsi="Calibri" w:cs="Calibri"/>
          <w:sz w:val="22"/>
          <w:szCs w:val="22"/>
          <w:lang w:val="en-US"/>
        </w:rPr>
        <w:t xml:space="preserve">for specific RVQoE configurations belonging to </w:t>
      </w:r>
      <w:r w:rsidRPr="00651AC6">
        <w:rPr>
          <w:rFonts w:ascii="Calibri" w:eastAsia="Times New Roman" w:hAnsi="Calibri" w:cs="Calibri"/>
          <w:sz w:val="22"/>
          <w:szCs w:val="22"/>
          <w:lang w:val="en-US"/>
        </w:rPr>
        <w:t xml:space="preserve">a specific </w:t>
      </w:r>
      <w:r w:rsidR="00DA7B47" w:rsidRPr="00651AC6">
        <w:rPr>
          <w:rFonts w:ascii="Calibri" w:eastAsia="Times New Roman" w:hAnsi="Calibri" w:cs="Calibri"/>
          <w:sz w:val="22"/>
          <w:szCs w:val="22"/>
          <w:lang w:val="en-US"/>
        </w:rPr>
        <w:t xml:space="preserve">UE (e.g., </w:t>
      </w:r>
      <w:r w:rsidRPr="00651AC6">
        <w:rPr>
          <w:rFonts w:ascii="Calibri" w:eastAsia="Times New Roman" w:hAnsi="Calibri" w:cs="Calibri"/>
          <w:sz w:val="22"/>
          <w:szCs w:val="22"/>
          <w:lang w:val="en-US"/>
        </w:rPr>
        <w:t>those RVQoE configurations which send RVQoE report very frequently</w:t>
      </w:r>
      <w:r w:rsidR="00DA7B47" w:rsidRPr="00651AC6">
        <w:rPr>
          <w:rFonts w:ascii="Calibri" w:eastAsia="Times New Roman" w:hAnsi="Calibri" w:cs="Calibri"/>
          <w:sz w:val="22"/>
          <w:szCs w:val="22"/>
          <w:lang w:val="en-US"/>
        </w:rPr>
        <w:t>)</w:t>
      </w:r>
    </w:p>
    <w:p w14:paraId="05427F75" w14:textId="0A55466D" w:rsidR="00DA7B47" w:rsidRDefault="00DA7B47" w:rsidP="00354980">
      <w:pPr>
        <w:spacing w:after="0"/>
        <w:rPr>
          <w:rFonts w:ascii="Calibri" w:eastAsia="Times New Roman" w:hAnsi="Calibri" w:cs="Calibri"/>
          <w:sz w:val="22"/>
          <w:szCs w:val="22"/>
          <w:lang w:val="en-US"/>
        </w:rPr>
      </w:pPr>
    </w:p>
    <w:p w14:paraId="22CA4D1B" w14:textId="00C911BB" w:rsidR="001811F9" w:rsidRDefault="00A36DF5" w:rsidP="00354980">
      <w:pPr>
        <w:spacing w:after="0"/>
        <w:rPr>
          <w:rFonts w:ascii="Calibri" w:eastAsia="Times New Roman" w:hAnsi="Calibri" w:cs="Calibri"/>
          <w:sz w:val="22"/>
          <w:szCs w:val="22"/>
          <w:lang w:val="en-US"/>
        </w:rPr>
      </w:pPr>
      <w:r>
        <w:rPr>
          <w:rFonts w:ascii="Calibri" w:eastAsia="Times New Roman" w:hAnsi="Calibri" w:cs="Calibri"/>
          <w:sz w:val="22"/>
          <w:szCs w:val="22"/>
          <w:lang w:val="en-US"/>
        </w:rPr>
        <w:t>If a</w:t>
      </w:r>
      <w:r w:rsidR="00BF0E31">
        <w:rPr>
          <w:rFonts w:ascii="Calibri" w:eastAsia="Times New Roman" w:hAnsi="Calibri" w:cs="Calibri"/>
          <w:sz w:val="22"/>
          <w:szCs w:val="22"/>
          <w:lang w:val="en-US"/>
        </w:rPr>
        <w:t xml:space="preserve"> gNB-DU </w:t>
      </w:r>
      <w:r>
        <w:rPr>
          <w:rFonts w:ascii="Calibri" w:eastAsia="Times New Roman" w:hAnsi="Calibri" w:cs="Calibri"/>
          <w:sz w:val="22"/>
          <w:szCs w:val="22"/>
          <w:lang w:val="en-US"/>
        </w:rPr>
        <w:t>wa</w:t>
      </w:r>
      <w:r w:rsidR="00BF0E31">
        <w:rPr>
          <w:rFonts w:ascii="Calibri" w:eastAsia="Times New Roman" w:hAnsi="Calibri" w:cs="Calibri"/>
          <w:sz w:val="22"/>
          <w:szCs w:val="22"/>
          <w:lang w:val="en-US"/>
        </w:rPr>
        <w:t>nt</w:t>
      </w:r>
      <w:r>
        <w:rPr>
          <w:rFonts w:ascii="Calibri" w:eastAsia="Times New Roman" w:hAnsi="Calibri" w:cs="Calibri"/>
          <w:sz w:val="22"/>
          <w:szCs w:val="22"/>
          <w:lang w:val="en-US"/>
        </w:rPr>
        <w:t>s</w:t>
      </w:r>
      <w:r w:rsidR="00BF0E31">
        <w:rPr>
          <w:rFonts w:ascii="Calibri" w:eastAsia="Times New Roman" w:hAnsi="Calibri" w:cs="Calibri"/>
          <w:sz w:val="22"/>
          <w:szCs w:val="22"/>
          <w:lang w:val="en-US"/>
        </w:rPr>
        <w:t xml:space="preserve"> to </w:t>
      </w:r>
      <w:r w:rsidR="00841E08" w:rsidRPr="00841E08">
        <w:rPr>
          <w:rFonts w:ascii="Calibri" w:eastAsia="Times New Roman" w:hAnsi="Calibri" w:cs="Calibri"/>
          <w:sz w:val="22"/>
          <w:szCs w:val="22"/>
          <w:lang w:val="en-US"/>
        </w:rPr>
        <w:t xml:space="preserve">selectively deactivate </w:t>
      </w:r>
      <w:r w:rsidR="00DF3DB1">
        <w:rPr>
          <w:rFonts w:ascii="Calibri" w:eastAsia="Times New Roman" w:hAnsi="Calibri" w:cs="Calibri"/>
          <w:sz w:val="22"/>
          <w:szCs w:val="22"/>
          <w:lang w:val="en-US"/>
        </w:rPr>
        <w:t xml:space="preserve">certain RVQoE configurations (e.g., those RVQoE configurations </w:t>
      </w:r>
      <w:r w:rsidR="00841E08" w:rsidRPr="00841E08">
        <w:rPr>
          <w:rFonts w:ascii="Calibri" w:eastAsia="Times New Roman" w:hAnsi="Calibri" w:cs="Calibri"/>
          <w:sz w:val="22"/>
          <w:szCs w:val="22"/>
          <w:lang w:val="en-US"/>
        </w:rPr>
        <w:t>which send RVQoE report very frequently</w:t>
      </w:r>
      <w:r w:rsidR="00DF3DB1">
        <w:rPr>
          <w:rFonts w:ascii="Calibri" w:eastAsia="Times New Roman" w:hAnsi="Calibri" w:cs="Calibri"/>
          <w:sz w:val="22"/>
          <w:szCs w:val="22"/>
          <w:lang w:val="en-US"/>
        </w:rPr>
        <w:t>)</w:t>
      </w:r>
      <w:r w:rsidR="00695240">
        <w:rPr>
          <w:rFonts w:ascii="Calibri" w:eastAsia="Times New Roman" w:hAnsi="Calibri" w:cs="Calibri"/>
          <w:sz w:val="22"/>
          <w:szCs w:val="22"/>
          <w:lang w:val="en-US"/>
        </w:rPr>
        <w:t xml:space="preserve">, it needs knowledge of </w:t>
      </w:r>
      <w:r w:rsidR="00FA0368">
        <w:rPr>
          <w:rFonts w:ascii="Calibri" w:eastAsia="Times New Roman" w:hAnsi="Calibri" w:cs="Calibri"/>
          <w:sz w:val="22"/>
          <w:szCs w:val="22"/>
          <w:lang w:val="en-US"/>
        </w:rPr>
        <w:t xml:space="preserve">the RVQoE configurations in the first place.  </w:t>
      </w:r>
      <w:r w:rsidR="00C6094A">
        <w:rPr>
          <w:rFonts w:ascii="Calibri" w:eastAsia="Times New Roman" w:hAnsi="Calibri" w:cs="Calibri"/>
          <w:sz w:val="22"/>
          <w:szCs w:val="22"/>
          <w:lang w:val="en-US"/>
        </w:rPr>
        <w:t xml:space="preserve">It is to be noted that currently the gNB-DU doesn’t know the QoE Reference (or measConfigAppLayerID) </w:t>
      </w:r>
      <w:r w:rsidR="00FA7AE9">
        <w:rPr>
          <w:rFonts w:ascii="Calibri" w:eastAsia="Times New Roman" w:hAnsi="Calibri" w:cs="Calibri"/>
          <w:sz w:val="22"/>
          <w:szCs w:val="22"/>
          <w:lang w:val="en-US"/>
        </w:rPr>
        <w:t xml:space="preserve">and </w:t>
      </w:r>
      <w:r w:rsidR="00CA78F6" w:rsidRPr="002977D8">
        <w:rPr>
          <w:rFonts w:ascii="Calibri" w:eastAsia="Times New Roman" w:hAnsi="Calibri" w:cs="Calibri"/>
          <w:sz w:val="22"/>
          <w:szCs w:val="22"/>
          <w:lang w:val="en-US"/>
        </w:rPr>
        <w:t xml:space="preserve">and RVQoE </w:t>
      </w:r>
      <w:r w:rsidR="00CA78F6">
        <w:rPr>
          <w:rFonts w:ascii="Calibri" w:eastAsia="Times New Roman" w:hAnsi="Calibri" w:cs="Calibri"/>
          <w:sz w:val="22"/>
          <w:szCs w:val="22"/>
          <w:lang w:val="en-US"/>
        </w:rPr>
        <w:t>configuration associated to that QoE Reference</w:t>
      </w:r>
      <w:r w:rsidR="00583504">
        <w:rPr>
          <w:rFonts w:ascii="Calibri" w:eastAsia="Times New Roman" w:hAnsi="Calibri" w:cs="Calibri"/>
          <w:sz w:val="22"/>
          <w:szCs w:val="22"/>
          <w:lang w:val="en-US"/>
        </w:rPr>
        <w:t xml:space="preserve"> </w:t>
      </w:r>
      <w:r w:rsidR="00CA78F6">
        <w:rPr>
          <w:rFonts w:ascii="Calibri" w:eastAsia="Times New Roman" w:hAnsi="Calibri" w:cs="Calibri"/>
          <w:sz w:val="22"/>
          <w:szCs w:val="22"/>
          <w:lang w:val="en-US"/>
        </w:rPr>
        <w:t xml:space="preserve">(e.g., the RVQoE parameters or reporting periodicity) </w:t>
      </w:r>
      <w:r w:rsidR="00583504">
        <w:rPr>
          <w:rFonts w:ascii="Calibri" w:eastAsia="Times New Roman" w:hAnsi="Calibri" w:cs="Calibri"/>
          <w:sz w:val="22"/>
          <w:szCs w:val="22"/>
          <w:lang w:val="en-US"/>
        </w:rPr>
        <w:t>and therefore can’t request to deactivate a specific RVQoE configuration without this knowledge.</w:t>
      </w:r>
      <w:r w:rsidR="00B32566">
        <w:rPr>
          <w:rFonts w:ascii="Calibri" w:eastAsia="Times New Roman" w:hAnsi="Calibri" w:cs="Calibri"/>
          <w:sz w:val="22"/>
          <w:szCs w:val="22"/>
          <w:lang w:val="en-US"/>
        </w:rPr>
        <w:t xml:space="preserve"> </w:t>
      </w:r>
    </w:p>
    <w:p w14:paraId="55EDBB4F" w14:textId="77777777" w:rsidR="002977D8" w:rsidRDefault="002977D8" w:rsidP="00354980">
      <w:pPr>
        <w:spacing w:after="0"/>
        <w:rPr>
          <w:rFonts w:ascii="Calibri" w:eastAsia="Times New Roman" w:hAnsi="Calibri" w:cs="Calibri"/>
          <w:sz w:val="22"/>
          <w:szCs w:val="22"/>
          <w:lang w:val="en-US"/>
        </w:rPr>
      </w:pPr>
    </w:p>
    <w:p w14:paraId="1BFBEDCD" w14:textId="5B7CA777" w:rsidR="002977D8" w:rsidRDefault="002977D8" w:rsidP="00354980">
      <w:pPr>
        <w:spacing w:after="0"/>
        <w:rPr>
          <w:rFonts w:ascii="Calibri" w:eastAsia="Times New Roman" w:hAnsi="Calibri" w:cs="Calibri"/>
          <w:sz w:val="22"/>
          <w:szCs w:val="22"/>
          <w:lang w:val="en-US"/>
        </w:rPr>
      </w:pPr>
      <w:r w:rsidRPr="002977D8">
        <w:rPr>
          <w:rFonts w:ascii="Calibri" w:eastAsia="Times New Roman" w:hAnsi="Calibri" w:cs="Calibri"/>
          <w:b/>
          <w:bCs/>
          <w:sz w:val="22"/>
          <w:szCs w:val="22"/>
          <w:lang w:val="en-US"/>
        </w:rPr>
        <w:t>Observation</w:t>
      </w:r>
      <w:r w:rsidR="001E6218">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C</w:t>
      </w:r>
      <w:r w:rsidRPr="002977D8">
        <w:rPr>
          <w:rFonts w:ascii="Calibri" w:eastAsia="Times New Roman" w:hAnsi="Calibri" w:cs="Calibri"/>
          <w:sz w:val="22"/>
          <w:szCs w:val="22"/>
          <w:lang w:val="en-US"/>
        </w:rPr>
        <w:t xml:space="preserve">urrently the gNB-DU doesn’t know the QoE Reference (or measConfigAppLayerID) and RVQoE </w:t>
      </w:r>
      <w:r w:rsidR="00CA78F6">
        <w:rPr>
          <w:rFonts w:ascii="Calibri" w:eastAsia="Times New Roman" w:hAnsi="Calibri" w:cs="Calibri"/>
          <w:sz w:val="22"/>
          <w:szCs w:val="22"/>
          <w:lang w:val="en-US"/>
        </w:rPr>
        <w:t>configuration associated to that QoE Reference</w:t>
      </w:r>
      <w:r w:rsidRPr="002977D8">
        <w:rPr>
          <w:rFonts w:ascii="Calibri" w:eastAsia="Times New Roman" w:hAnsi="Calibri" w:cs="Calibri"/>
          <w:sz w:val="22"/>
          <w:szCs w:val="22"/>
          <w:lang w:val="en-US"/>
        </w:rPr>
        <w:t xml:space="preserve"> and therefore can’t request to deactivate a specific RVQoE configuration </w:t>
      </w:r>
      <w:r w:rsidR="00EF6734">
        <w:rPr>
          <w:rFonts w:ascii="Calibri" w:eastAsia="Times New Roman" w:hAnsi="Calibri" w:cs="Calibri"/>
          <w:sz w:val="22"/>
          <w:szCs w:val="22"/>
          <w:lang w:val="en-US"/>
        </w:rPr>
        <w:t xml:space="preserve">over F1AP </w:t>
      </w:r>
      <w:r w:rsidRPr="002977D8">
        <w:rPr>
          <w:rFonts w:ascii="Calibri" w:eastAsia="Times New Roman" w:hAnsi="Calibri" w:cs="Calibri"/>
          <w:sz w:val="22"/>
          <w:szCs w:val="22"/>
          <w:lang w:val="en-US"/>
        </w:rPr>
        <w:t>without this knowledge.</w:t>
      </w:r>
    </w:p>
    <w:p w14:paraId="0D30836F" w14:textId="77777777" w:rsidR="001811F9" w:rsidRDefault="001811F9" w:rsidP="00354980">
      <w:pPr>
        <w:spacing w:after="0"/>
        <w:rPr>
          <w:rFonts w:ascii="Calibri" w:eastAsia="Times New Roman" w:hAnsi="Calibri" w:cs="Calibri"/>
          <w:sz w:val="22"/>
          <w:szCs w:val="22"/>
          <w:lang w:val="en-US"/>
        </w:rPr>
      </w:pPr>
    </w:p>
    <w:p w14:paraId="2CBC3EB8" w14:textId="26419662" w:rsidR="005535E5" w:rsidRDefault="00EF6734" w:rsidP="00354980">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The simplest deactivation mechanism would be for </w:t>
      </w:r>
      <w:r w:rsidR="00B3335E">
        <w:rPr>
          <w:rFonts w:ascii="Calibri" w:eastAsia="Times New Roman" w:hAnsi="Calibri" w:cs="Calibri"/>
          <w:sz w:val="22"/>
          <w:szCs w:val="22"/>
          <w:lang w:val="en-US"/>
        </w:rPr>
        <w:t>the</w:t>
      </w:r>
      <w:r w:rsidR="00D83FE9">
        <w:rPr>
          <w:rFonts w:ascii="Calibri" w:eastAsia="Times New Roman" w:hAnsi="Calibri" w:cs="Calibri"/>
          <w:sz w:val="22"/>
          <w:szCs w:val="22"/>
          <w:lang w:val="en-US"/>
        </w:rPr>
        <w:t xml:space="preserve"> </w:t>
      </w:r>
      <w:r w:rsidR="00D83FE9" w:rsidRPr="00D83FE9">
        <w:rPr>
          <w:rFonts w:ascii="Calibri" w:eastAsia="Times New Roman" w:hAnsi="Calibri" w:cs="Calibri"/>
          <w:sz w:val="22"/>
          <w:szCs w:val="22"/>
          <w:lang w:val="en-US"/>
        </w:rPr>
        <w:t xml:space="preserve">gNB-DU </w:t>
      </w:r>
      <w:r w:rsidR="00A6406D">
        <w:rPr>
          <w:rFonts w:ascii="Calibri" w:eastAsia="Times New Roman" w:hAnsi="Calibri" w:cs="Calibri"/>
          <w:sz w:val="22"/>
          <w:szCs w:val="22"/>
          <w:lang w:val="en-US"/>
        </w:rPr>
        <w:t>to</w:t>
      </w:r>
      <w:r w:rsidR="00D83FE9" w:rsidRPr="00D83FE9">
        <w:rPr>
          <w:rFonts w:ascii="Calibri" w:eastAsia="Times New Roman" w:hAnsi="Calibri" w:cs="Calibri"/>
          <w:sz w:val="22"/>
          <w:szCs w:val="22"/>
          <w:lang w:val="en-US"/>
        </w:rPr>
        <w:t xml:space="preserve"> indicate </w:t>
      </w:r>
      <w:r w:rsidR="00A6406D">
        <w:rPr>
          <w:rFonts w:ascii="Calibri" w:eastAsia="Times New Roman" w:hAnsi="Calibri" w:cs="Calibri"/>
          <w:sz w:val="22"/>
          <w:szCs w:val="22"/>
          <w:lang w:val="en-US"/>
        </w:rPr>
        <w:t xml:space="preserve">to </w:t>
      </w:r>
      <w:r w:rsidR="00D83FE9" w:rsidRPr="00D83FE9">
        <w:rPr>
          <w:rFonts w:ascii="Calibri" w:eastAsia="Times New Roman" w:hAnsi="Calibri" w:cs="Calibri"/>
          <w:sz w:val="22"/>
          <w:szCs w:val="22"/>
          <w:lang w:val="en-US"/>
        </w:rPr>
        <w:t xml:space="preserve">gNB-CU </w:t>
      </w:r>
      <w:r w:rsidR="00A6406D">
        <w:rPr>
          <w:rFonts w:ascii="Calibri" w:eastAsia="Times New Roman" w:hAnsi="Calibri" w:cs="Calibri"/>
          <w:sz w:val="22"/>
          <w:szCs w:val="22"/>
          <w:lang w:val="en-US"/>
        </w:rPr>
        <w:t xml:space="preserve">that it is no longer </w:t>
      </w:r>
      <w:r w:rsidR="00D83FE9" w:rsidRPr="00D83FE9">
        <w:rPr>
          <w:rFonts w:ascii="Calibri" w:eastAsia="Times New Roman" w:hAnsi="Calibri" w:cs="Calibri"/>
          <w:sz w:val="22"/>
          <w:szCs w:val="22"/>
          <w:lang w:val="en-US"/>
        </w:rPr>
        <w:t>interest</w:t>
      </w:r>
      <w:r w:rsidR="00A6406D">
        <w:rPr>
          <w:rFonts w:ascii="Calibri" w:eastAsia="Times New Roman" w:hAnsi="Calibri" w:cs="Calibri"/>
          <w:sz w:val="22"/>
          <w:szCs w:val="22"/>
          <w:lang w:val="en-US"/>
        </w:rPr>
        <w:t>ed</w:t>
      </w:r>
      <w:r w:rsidR="00D83FE9" w:rsidRPr="00D83FE9">
        <w:rPr>
          <w:rFonts w:ascii="Calibri" w:eastAsia="Times New Roman" w:hAnsi="Calibri" w:cs="Calibri"/>
          <w:sz w:val="22"/>
          <w:szCs w:val="22"/>
          <w:lang w:val="en-US"/>
        </w:rPr>
        <w:t xml:space="preserve"> in receiving </w:t>
      </w:r>
      <w:bookmarkStart w:id="2" w:name="_Toc99038675"/>
      <w:bookmarkStart w:id="3" w:name="_Toc99730938"/>
      <w:bookmarkStart w:id="4" w:name="_Toc105511069"/>
      <w:bookmarkStart w:id="5" w:name="_Toc105927601"/>
      <w:bookmarkStart w:id="6" w:name="_Toc106110141"/>
      <w:bookmarkStart w:id="7" w:name="_Toc113835578"/>
      <w:bookmarkStart w:id="8" w:name="_Toc120124426"/>
      <w:bookmarkEnd w:id="2"/>
      <w:bookmarkEnd w:id="3"/>
      <w:bookmarkEnd w:id="4"/>
      <w:bookmarkEnd w:id="5"/>
      <w:bookmarkEnd w:id="6"/>
      <w:bookmarkEnd w:id="7"/>
      <w:bookmarkEnd w:id="8"/>
      <w:r w:rsidR="00BB40CB">
        <w:rPr>
          <w:rFonts w:ascii="Calibri" w:eastAsia="Times New Roman" w:hAnsi="Calibri" w:cs="Calibri"/>
          <w:sz w:val="22"/>
          <w:szCs w:val="22"/>
          <w:lang w:val="en-US"/>
        </w:rPr>
        <w:t>the QOE INFORMATION TRANSFER</w:t>
      </w:r>
      <w:r w:rsidR="00DC1436">
        <w:rPr>
          <w:rFonts w:ascii="Calibri" w:eastAsia="Times New Roman" w:hAnsi="Calibri" w:cs="Calibri"/>
          <w:sz w:val="22"/>
          <w:szCs w:val="22"/>
          <w:lang w:val="en-US"/>
        </w:rPr>
        <w:t xml:space="preserve"> belonging to a </w:t>
      </w:r>
      <w:r w:rsidR="00CF243F">
        <w:rPr>
          <w:rFonts w:ascii="Calibri" w:eastAsia="Times New Roman" w:hAnsi="Calibri" w:cs="Calibri"/>
          <w:sz w:val="22"/>
          <w:szCs w:val="22"/>
          <w:lang w:val="en-US"/>
        </w:rPr>
        <w:t xml:space="preserve">specific </w:t>
      </w:r>
      <w:r w:rsidR="00DC1436">
        <w:rPr>
          <w:rFonts w:ascii="Calibri" w:eastAsia="Times New Roman" w:hAnsi="Calibri" w:cs="Calibri"/>
          <w:sz w:val="22"/>
          <w:szCs w:val="22"/>
          <w:lang w:val="en-US"/>
        </w:rPr>
        <w:t>UE</w:t>
      </w:r>
      <w:r w:rsidR="006F271F">
        <w:rPr>
          <w:rFonts w:ascii="Calibri" w:eastAsia="Times New Roman" w:hAnsi="Calibri" w:cs="Calibri"/>
          <w:sz w:val="22"/>
          <w:szCs w:val="22"/>
          <w:lang w:val="en-US"/>
        </w:rPr>
        <w:t xml:space="preserve"> (i.e., option 2)</w:t>
      </w:r>
      <w:r w:rsidR="00DC1436">
        <w:rPr>
          <w:rFonts w:ascii="Calibri" w:eastAsia="Times New Roman" w:hAnsi="Calibri" w:cs="Calibri"/>
          <w:sz w:val="22"/>
          <w:szCs w:val="22"/>
          <w:lang w:val="en-US"/>
        </w:rPr>
        <w:t xml:space="preserve"> </w:t>
      </w:r>
      <w:r w:rsidR="00B3335E">
        <w:rPr>
          <w:rFonts w:ascii="Calibri" w:eastAsia="Times New Roman" w:hAnsi="Calibri" w:cs="Calibri"/>
          <w:sz w:val="22"/>
          <w:szCs w:val="22"/>
          <w:lang w:val="en-US"/>
        </w:rPr>
        <w:t>and not selectively deactivate certain RVQoE configurations</w:t>
      </w:r>
      <w:r w:rsidR="00456C96">
        <w:rPr>
          <w:rFonts w:ascii="Calibri" w:eastAsia="Times New Roman" w:hAnsi="Calibri" w:cs="Calibri"/>
          <w:sz w:val="22"/>
          <w:szCs w:val="22"/>
          <w:lang w:val="en-US"/>
        </w:rPr>
        <w:t xml:space="preserve"> (i.e., option 3)</w:t>
      </w:r>
      <w:r w:rsidR="00B3335E">
        <w:rPr>
          <w:rFonts w:ascii="Calibri" w:eastAsia="Times New Roman" w:hAnsi="Calibri" w:cs="Calibri"/>
          <w:sz w:val="22"/>
          <w:szCs w:val="22"/>
          <w:lang w:val="en-US"/>
        </w:rPr>
        <w:t>.</w:t>
      </w:r>
      <w:r w:rsidR="00456C96">
        <w:rPr>
          <w:rFonts w:ascii="Calibri" w:eastAsia="Times New Roman" w:hAnsi="Calibri" w:cs="Calibri"/>
          <w:sz w:val="22"/>
          <w:szCs w:val="22"/>
          <w:lang w:val="en-US"/>
        </w:rPr>
        <w:t xml:space="preserve"> Option 1 can be done via gNB-CU implementation today i.e., the gNB-CU can stop sending the QOE INFORMATION TRANSFER over F1AP if it knows that the gNB-DU is in overload (via</w:t>
      </w:r>
      <w:r w:rsidR="006466C3">
        <w:rPr>
          <w:rFonts w:ascii="Calibri" w:eastAsia="Times New Roman" w:hAnsi="Calibri" w:cs="Calibri"/>
          <w:sz w:val="22"/>
          <w:szCs w:val="22"/>
          <w:lang w:val="en-US"/>
        </w:rPr>
        <w:t xml:space="preserve"> gNB-DU STATUS</w:t>
      </w:r>
      <w:r w:rsidR="00456C96">
        <w:rPr>
          <w:rFonts w:ascii="Calibri" w:eastAsia="Times New Roman" w:hAnsi="Calibri" w:cs="Calibri"/>
          <w:sz w:val="22"/>
          <w:szCs w:val="22"/>
          <w:lang w:val="en-US"/>
        </w:rPr>
        <w:t xml:space="preserve"> INDICATION)</w:t>
      </w:r>
    </w:p>
    <w:p w14:paraId="5B1E1914" w14:textId="77777777" w:rsidR="00B035AD" w:rsidRDefault="00B035AD" w:rsidP="00354980">
      <w:pPr>
        <w:spacing w:after="0"/>
        <w:rPr>
          <w:rFonts w:ascii="Calibri" w:eastAsia="Times New Roman" w:hAnsi="Calibri" w:cs="Calibri"/>
          <w:sz w:val="22"/>
          <w:szCs w:val="22"/>
          <w:lang w:val="en-US"/>
        </w:rPr>
      </w:pPr>
    </w:p>
    <w:p w14:paraId="2AA14E75" w14:textId="77777777" w:rsidR="00B035AD" w:rsidRDefault="00B035AD" w:rsidP="00B035AD">
      <w:pPr>
        <w:spacing w:after="0"/>
        <w:rPr>
          <w:rFonts w:ascii="Calibri" w:eastAsia="Times New Roman" w:hAnsi="Calibri" w:cs="Calibri"/>
          <w:sz w:val="22"/>
          <w:szCs w:val="22"/>
          <w:lang w:val="en-US"/>
        </w:rPr>
      </w:pPr>
      <w:r>
        <w:rPr>
          <w:rFonts w:ascii="Calibri" w:eastAsia="Times New Roman" w:hAnsi="Calibri" w:cs="Calibri"/>
          <w:sz w:val="22"/>
          <w:szCs w:val="22"/>
          <w:lang w:val="en-US"/>
        </w:rPr>
        <w:t>A</w:t>
      </w:r>
      <w:r w:rsidRPr="00841E08">
        <w:rPr>
          <w:rFonts w:ascii="Calibri" w:eastAsia="Times New Roman" w:hAnsi="Calibri" w:cs="Calibri"/>
          <w:sz w:val="22"/>
          <w:szCs w:val="22"/>
          <w:lang w:val="en-US"/>
        </w:rPr>
        <w:t xml:space="preserve"> gNB-DU might no longer be interested in receiving RVQoE reports over F1AP </w:t>
      </w:r>
      <w:r>
        <w:rPr>
          <w:rFonts w:ascii="Calibri" w:eastAsia="Times New Roman" w:hAnsi="Calibri" w:cs="Calibri"/>
          <w:sz w:val="22"/>
          <w:szCs w:val="22"/>
          <w:lang w:val="en-US"/>
        </w:rPr>
        <w:t xml:space="preserve">if the gNB-DU is in overload. In such a case, the gNB-DU should be able to </w:t>
      </w:r>
      <w:r w:rsidRPr="00841E08">
        <w:rPr>
          <w:rFonts w:ascii="Calibri" w:eastAsia="Times New Roman" w:hAnsi="Calibri" w:cs="Calibri"/>
          <w:sz w:val="22"/>
          <w:szCs w:val="22"/>
          <w:lang w:val="en-US"/>
        </w:rPr>
        <w:t>deactivate the RVQoE reports for all UEs</w:t>
      </w:r>
    </w:p>
    <w:p w14:paraId="35D43FD3" w14:textId="77777777" w:rsidR="00B035AD" w:rsidRDefault="00B035AD" w:rsidP="00354980">
      <w:pPr>
        <w:spacing w:after="0"/>
        <w:rPr>
          <w:rFonts w:ascii="Calibri" w:eastAsia="Times New Roman" w:hAnsi="Calibri" w:cs="Calibri"/>
          <w:sz w:val="22"/>
          <w:szCs w:val="22"/>
          <w:lang w:val="en-US"/>
        </w:rPr>
      </w:pPr>
    </w:p>
    <w:p w14:paraId="0BBAB133" w14:textId="78B53212" w:rsidR="00D83FE9" w:rsidRDefault="00D83FE9" w:rsidP="00767533">
      <w:pPr>
        <w:spacing w:after="0"/>
        <w:rPr>
          <w:rFonts w:ascii="Calibri" w:eastAsia="Times New Roman" w:hAnsi="Calibri" w:cs="Calibri"/>
          <w:sz w:val="22"/>
          <w:szCs w:val="22"/>
          <w:lang w:val="en-US"/>
        </w:rPr>
      </w:pPr>
      <w:r w:rsidRPr="00D83FE9">
        <w:rPr>
          <w:rFonts w:ascii="Calibri" w:eastAsia="Times New Roman" w:hAnsi="Calibri" w:cs="Calibri"/>
          <w:b/>
          <w:bCs/>
          <w:sz w:val="22"/>
          <w:szCs w:val="22"/>
          <w:lang w:val="en-US"/>
        </w:rPr>
        <w:t>Proposal</w:t>
      </w:r>
      <w:r w:rsidR="001E6218">
        <w:rPr>
          <w:rFonts w:ascii="Calibri" w:eastAsia="Times New Roman" w:hAnsi="Calibri" w:cs="Calibri"/>
          <w:b/>
          <w:bCs/>
          <w:sz w:val="22"/>
          <w:szCs w:val="22"/>
          <w:lang w:val="en-US"/>
        </w:rPr>
        <w:t xml:space="preserve"> 5</w:t>
      </w:r>
      <w:r w:rsidR="00651AC6">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A153BC">
        <w:rPr>
          <w:rFonts w:ascii="Calibri" w:eastAsia="Times New Roman" w:hAnsi="Calibri" w:cs="Calibri"/>
          <w:sz w:val="22"/>
          <w:szCs w:val="22"/>
          <w:lang w:val="en-US"/>
        </w:rPr>
        <w:t>Option 2 is preferred i.e., t</w:t>
      </w:r>
      <w:r w:rsidR="00714010">
        <w:rPr>
          <w:rFonts w:ascii="Calibri" w:eastAsia="Times New Roman" w:hAnsi="Calibri" w:cs="Calibri"/>
          <w:sz w:val="22"/>
          <w:szCs w:val="22"/>
          <w:lang w:val="en-US"/>
        </w:rPr>
        <w:t xml:space="preserve">he gNB-DU can </w:t>
      </w:r>
      <w:r w:rsidR="00767533" w:rsidRPr="00767533">
        <w:rPr>
          <w:rFonts w:ascii="Calibri" w:eastAsia="Times New Roman" w:hAnsi="Calibri" w:cs="Calibri"/>
          <w:sz w:val="22"/>
          <w:szCs w:val="22"/>
          <w:lang w:val="en-US"/>
        </w:rPr>
        <w:t xml:space="preserve">indicate to </w:t>
      </w:r>
      <w:r w:rsidR="00714010">
        <w:rPr>
          <w:rFonts w:ascii="Calibri" w:eastAsia="Times New Roman" w:hAnsi="Calibri" w:cs="Calibri"/>
          <w:sz w:val="22"/>
          <w:szCs w:val="22"/>
          <w:lang w:val="en-US"/>
        </w:rPr>
        <w:t>gNB-</w:t>
      </w:r>
      <w:r w:rsidR="00767533" w:rsidRPr="00767533">
        <w:rPr>
          <w:rFonts w:ascii="Calibri" w:eastAsia="Times New Roman" w:hAnsi="Calibri" w:cs="Calibri"/>
          <w:sz w:val="22"/>
          <w:szCs w:val="22"/>
          <w:lang w:val="en-US"/>
        </w:rPr>
        <w:t xml:space="preserve">CU </w:t>
      </w:r>
      <w:r w:rsidR="0038097F">
        <w:rPr>
          <w:rFonts w:ascii="Calibri" w:eastAsia="Times New Roman" w:hAnsi="Calibri" w:cs="Calibri"/>
          <w:sz w:val="22"/>
          <w:szCs w:val="22"/>
          <w:lang w:val="en-US"/>
        </w:rPr>
        <w:t>via a flag that it is no longer interested in receiving the QOE INFORMATION TRANSFER</w:t>
      </w:r>
      <w:r w:rsidR="00651AC6">
        <w:rPr>
          <w:rFonts w:ascii="Calibri" w:eastAsia="Times New Roman" w:hAnsi="Calibri" w:cs="Calibri"/>
          <w:sz w:val="22"/>
          <w:szCs w:val="22"/>
          <w:lang w:val="en-US"/>
        </w:rPr>
        <w:t xml:space="preserve"> </w:t>
      </w:r>
      <w:r w:rsidR="00A153BC">
        <w:rPr>
          <w:rFonts w:ascii="Calibri" w:eastAsia="Times New Roman" w:hAnsi="Calibri" w:cs="Calibri"/>
          <w:sz w:val="22"/>
          <w:szCs w:val="22"/>
          <w:lang w:val="en-US"/>
        </w:rPr>
        <w:t xml:space="preserve">for specific UE </w:t>
      </w:r>
      <w:r w:rsidR="00651AC6">
        <w:rPr>
          <w:rFonts w:ascii="Calibri" w:eastAsia="Times New Roman" w:hAnsi="Calibri" w:cs="Calibri"/>
          <w:sz w:val="22"/>
          <w:szCs w:val="22"/>
          <w:lang w:val="en-US"/>
        </w:rPr>
        <w:t xml:space="preserve">via a </w:t>
      </w:r>
      <w:r w:rsidR="00CC1E04">
        <w:rPr>
          <w:rFonts w:ascii="Calibri" w:eastAsia="Times New Roman" w:hAnsi="Calibri" w:cs="Calibri"/>
          <w:sz w:val="22"/>
          <w:szCs w:val="22"/>
          <w:lang w:val="en-US"/>
        </w:rPr>
        <w:t xml:space="preserve">UE-associated </w:t>
      </w:r>
      <w:r w:rsidR="0046171D">
        <w:rPr>
          <w:rFonts w:ascii="Calibri" w:eastAsia="Times New Roman" w:hAnsi="Calibri" w:cs="Calibri"/>
          <w:sz w:val="22"/>
          <w:szCs w:val="22"/>
          <w:lang w:val="en-US"/>
        </w:rPr>
        <w:t>class-2 message</w:t>
      </w:r>
    </w:p>
    <w:p w14:paraId="2FA318A1" w14:textId="156F2E47" w:rsidR="00D83FE9" w:rsidRDefault="0071456B" w:rsidP="00D83FE9">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gNB-</w:t>
      </w:r>
      <w:r w:rsidR="00D83FE9" w:rsidRPr="00D83FE9">
        <w:rPr>
          <w:rFonts w:asciiTheme="minorHAnsi" w:eastAsia="MS Mincho" w:hAnsiTheme="minorHAnsi" w:cstheme="minorHAnsi"/>
          <w:iCs/>
          <w:sz w:val="28"/>
          <w:lang w:eastAsia="ja-JP"/>
        </w:rPr>
        <w:t>DU participation in assembling the RVQoE configuration</w:t>
      </w:r>
    </w:p>
    <w:p w14:paraId="0C972F19" w14:textId="3076E099" w:rsidR="00767533" w:rsidRPr="006B651E" w:rsidRDefault="006B651E" w:rsidP="006B651E">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r w:rsidRPr="006B651E">
        <w:rPr>
          <w:rFonts w:ascii="Calibri" w:eastAsia="Times New Roman" w:hAnsi="Calibri" w:cs="Calibri"/>
          <w:color w:val="4472C4" w:themeColor="accent1"/>
          <w:sz w:val="22"/>
          <w:szCs w:val="22"/>
          <w:lang w:val="en-US"/>
        </w:rPr>
        <w:t>Further discuss and clarify the necessity of DU participation in assembling RVQoE configuration</w:t>
      </w:r>
    </w:p>
    <w:p w14:paraId="1E71D039" w14:textId="77777777" w:rsidR="006B651E" w:rsidRDefault="006B651E" w:rsidP="00767533">
      <w:pPr>
        <w:spacing w:after="0"/>
        <w:rPr>
          <w:rFonts w:ascii="Calibri" w:eastAsia="Times New Roman" w:hAnsi="Calibri" w:cs="Calibri"/>
          <w:sz w:val="22"/>
          <w:szCs w:val="22"/>
          <w:lang w:val="en-US"/>
        </w:rPr>
      </w:pPr>
    </w:p>
    <w:p w14:paraId="20CB0C60" w14:textId="437A8B13" w:rsidR="00417A6A" w:rsidRDefault="00D83FE9" w:rsidP="00354980">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It was further proposed that </w:t>
      </w:r>
      <w:r w:rsidR="005E69FA" w:rsidRPr="005E69FA">
        <w:rPr>
          <w:rFonts w:ascii="Calibri" w:eastAsia="Times New Roman" w:hAnsi="Calibri" w:cs="Calibri"/>
          <w:sz w:val="22"/>
          <w:szCs w:val="22"/>
          <w:lang w:val="en-US"/>
        </w:rPr>
        <w:t xml:space="preserve">DU should be </w:t>
      </w:r>
      <w:r>
        <w:rPr>
          <w:rFonts w:ascii="Calibri" w:eastAsia="Times New Roman" w:hAnsi="Calibri" w:cs="Calibri"/>
          <w:sz w:val="22"/>
          <w:szCs w:val="22"/>
          <w:lang w:val="en-US"/>
        </w:rPr>
        <w:t>able to participate in assembling the RVQoE configuration e.g., it should be able</w:t>
      </w:r>
      <w:r w:rsidR="005E69FA" w:rsidRPr="005E69FA">
        <w:rPr>
          <w:rFonts w:ascii="Calibri" w:eastAsia="Times New Roman" w:hAnsi="Calibri" w:cs="Calibri"/>
          <w:sz w:val="22"/>
          <w:szCs w:val="22"/>
          <w:lang w:val="en-US"/>
        </w:rPr>
        <w:t xml:space="preserve"> to propose periodicity for RVQoE reporting, or which metrics </w:t>
      </w:r>
      <w:r w:rsidR="007A78CB">
        <w:rPr>
          <w:rFonts w:ascii="Calibri" w:eastAsia="Times New Roman" w:hAnsi="Calibri" w:cs="Calibri"/>
          <w:sz w:val="22"/>
          <w:szCs w:val="22"/>
          <w:lang w:val="en-US"/>
        </w:rPr>
        <w:t xml:space="preserve">it </w:t>
      </w:r>
      <w:r w:rsidR="005E69FA" w:rsidRPr="005E69FA">
        <w:rPr>
          <w:rFonts w:ascii="Calibri" w:eastAsia="Times New Roman" w:hAnsi="Calibri" w:cs="Calibri"/>
          <w:sz w:val="22"/>
          <w:szCs w:val="22"/>
          <w:lang w:val="en-US"/>
        </w:rPr>
        <w:t>is interested to receive</w:t>
      </w:r>
      <w:r>
        <w:rPr>
          <w:rFonts w:ascii="Calibri" w:eastAsia="Times New Roman" w:hAnsi="Calibri" w:cs="Calibri"/>
          <w:sz w:val="22"/>
          <w:szCs w:val="22"/>
          <w:lang w:val="en-US"/>
        </w:rPr>
        <w:t xml:space="preserve">. While we think it is </w:t>
      </w:r>
      <w:r w:rsidR="0071456B">
        <w:rPr>
          <w:rFonts w:ascii="Calibri" w:eastAsia="Times New Roman" w:hAnsi="Calibri" w:cs="Calibri"/>
          <w:sz w:val="22"/>
          <w:szCs w:val="22"/>
          <w:lang w:val="en-US"/>
        </w:rPr>
        <w:t xml:space="preserve">reasonable, contrasting assistance from different gNB-DUs under the same gNB-CU </w:t>
      </w:r>
      <w:r w:rsidR="002D2A68">
        <w:rPr>
          <w:rFonts w:ascii="Calibri" w:eastAsia="Times New Roman" w:hAnsi="Calibri" w:cs="Calibri"/>
          <w:sz w:val="22"/>
          <w:szCs w:val="22"/>
          <w:lang w:val="en-US"/>
        </w:rPr>
        <w:t xml:space="preserve">(e.g., </w:t>
      </w:r>
      <w:r w:rsidR="00833185">
        <w:rPr>
          <w:rFonts w:ascii="Calibri" w:eastAsia="Times New Roman" w:hAnsi="Calibri" w:cs="Calibri"/>
          <w:sz w:val="22"/>
          <w:szCs w:val="22"/>
          <w:lang w:val="en-US"/>
        </w:rPr>
        <w:t xml:space="preserve">from MN-DU and SN-DU) </w:t>
      </w:r>
      <w:r w:rsidR="0071456B">
        <w:rPr>
          <w:rFonts w:ascii="Calibri" w:eastAsia="Times New Roman" w:hAnsi="Calibri" w:cs="Calibri"/>
          <w:sz w:val="22"/>
          <w:szCs w:val="22"/>
          <w:lang w:val="en-US"/>
        </w:rPr>
        <w:t>would lead to conflicts and the gNB-CU would be confused what to configure the UE.</w:t>
      </w:r>
    </w:p>
    <w:p w14:paraId="22EF97DF" w14:textId="5CA20B18" w:rsidR="0071456B" w:rsidRDefault="0071456B" w:rsidP="00354980">
      <w:pPr>
        <w:spacing w:after="0"/>
        <w:rPr>
          <w:rFonts w:ascii="Calibri" w:eastAsia="Times New Roman" w:hAnsi="Calibri" w:cs="Calibri"/>
          <w:sz w:val="22"/>
          <w:szCs w:val="22"/>
          <w:lang w:val="en-US"/>
        </w:rPr>
      </w:pPr>
    </w:p>
    <w:p w14:paraId="4F9083B1" w14:textId="1BE21485" w:rsidR="0071456B" w:rsidRDefault="0071456B" w:rsidP="00354980">
      <w:pPr>
        <w:spacing w:after="0"/>
        <w:rPr>
          <w:rFonts w:ascii="Calibri" w:eastAsia="Times New Roman" w:hAnsi="Calibri" w:cs="Calibri"/>
          <w:sz w:val="22"/>
          <w:szCs w:val="22"/>
          <w:lang w:val="en-US"/>
        </w:rPr>
      </w:pPr>
      <w:r w:rsidRPr="0071456B">
        <w:rPr>
          <w:rFonts w:ascii="Calibri" w:eastAsia="Times New Roman" w:hAnsi="Calibri" w:cs="Calibri"/>
          <w:b/>
          <w:bCs/>
          <w:sz w:val="22"/>
          <w:szCs w:val="22"/>
          <w:lang w:val="en-US"/>
        </w:rPr>
        <w:t>Observation</w:t>
      </w:r>
      <w:r w:rsidR="001E6218">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Even if gNB-DU participates in assembling the RVQoE configuration (e.g., by proposing periodicity for RVQoE reporting or the list of interested RVQoE metrics), gNB-CU would have the final say in the RVQoE configuration.</w:t>
      </w:r>
    </w:p>
    <w:p w14:paraId="12B8998C" w14:textId="4EE75DEF" w:rsidR="0071456B" w:rsidRDefault="0071456B" w:rsidP="00354980">
      <w:pPr>
        <w:spacing w:after="0"/>
        <w:rPr>
          <w:rFonts w:ascii="Calibri" w:eastAsia="Times New Roman" w:hAnsi="Calibri" w:cs="Calibri"/>
          <w:sz w:val="22"/>
          <w:szCs w:val="22"/>
          <w:lang w:val="en-US"/>
        </w:rPr>
      </w:pPr>
    </w:p>
    <w:p w14:paraId="1D0B7E01" w14:textId="067C5692" w:rsidR="0071456B" w:rsidRDefault="0071456B" w:rsidP="00354980">
      <w:pPr>
        <w:spacing w:after="0"/>
        <w:rPr>
          <w:rFonts w:ascii="Calibri" w:eastAsia="Times New Roman" w:hAnsi="Calibri" w:cs="Calibri"/>
          <w:sz w:val="22"/>
          <w:szCs w:val="22"/>
          <w:lang w:val="en-US"/>
        </w:rPr>
      </w:pPr>
      <w:r w:rsidRPr="0071456B">
        <w:rPr>
          <w:rFonts w:ascii="Calibri" w:eastAsia="Times New Roman" w:hAnsi="Calibri" w:cs="Calibri"/>
          <w:b/>
          <w:bCs/>
          <w:sz w:val="22"/>
          <w:szCs w:val="22"/>
          <w:lang w:val="en-US"/>
        </w:rPr>
        <w:t>Observation</w:t>
      </w:r>
      <w:r w:rsidR="001E6218">
        <w:rPr>
          <w:rFonts w:ascii="Calibri" w:eastAsia="Times New Roman" w:hAnsi="Calibri" w:cs="Calibri"/>
          <w:b/>
          <w:bCs/>
          <w:sz w:val="22"/>
          <w:szCs w:val="22"/>
          <w:lang w:val="en-US"/>
        </w:rPr>
        <w:t xml:space="preserve"> 4</w:t>
      </w:r>
      <w:r>
        <w:rPr>
          <w:rFonts w:ascii="Calibri" w:eastAsia="Times New Roman" w:hAnsi="Calibri" w:cs="Calibri"/>
          <w:sz w:val="22"/>
          <w:szCs w:val="22"/>
          <w:lang w:val="en-US"/>
        </w:rPr>
        <w:t xml:space="preserve">: In case </w:t>
      </w:r>
      <w:r w:rsidR="004A5686">
        <w:rPr>
          <w:rFonts w:ascii="Calibri" w:eastAsia="Times New Roman" w:hAnsi="Calibri" w:cs="Calibri"/>
          <w:sz w:val="22"/>
          <w:szCs w:val="22"/>
          <w:lang w:val="en-US"/>
        </w:rPr>
        <w:t xml:space="preserve">the MN-DU and SN-DU </w:t>
      </w:r>
      <w:r>
        <w:rPr>
          <w:rFonts w:ascii="Calibri" w:eastAsia="Times New Roman" w:hAnsi="Calibri" w:cs="Calibri"/>
          <w:sz w:val="22"/>
          <w:szCs w:val="22"/>
          <w:lang w:val="en-US"/>
        </w:rPr>
        <w:t>provide contrasting suggestions for assembling the RVQoE configuration, this assistance from gNB-DU(s) is not useful.</w:t>
      </w:r>
    </w:p>
    <w:p w14:paraId="6072746F" w14:textId="21E9A0EA" w:rsidR="0071456B" w:rsidRDefault="0071456B" w:rsidP="00354980">
      <w:pPr>
        <w:spacing w:after="0"/>
        <w:rPr>
          <w:rFonts w:ascii="Calibri" w:eastAsia="Times New Roman" w:hAnsi="Calibri" w:cs="Calibri"/>
          <w:sz w:val="22"/>
          <w:szCs w:val="22"/>
          <w:lang w:val="en-US"/>
        </w:rPr>
      </w:pPr>
    </w:p>
    <w:p w14:paraId="1ACEFBA4" w14:textId="256963C8" w:rsidR="0071456B" w:rsidRDefault="0071456B" w:rsidP="00354980">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We therefore propose to not consider the gNB-DU </w:t>
      </w:r>
      <w:r w:rsidRPr="0071456B">
        <w:rPr>
          <w:rFonts w:ascii="Calibri" w:eastAsia="Times New Roman" w:hAnsi="Calibri" w:cs="Calibri"/>
          <w:sz w:val="22"/>
          <w:szCs w:val="22"/>
          <w:lang w:val="en-US"/>
        </w:rPr>
        <w:t>participation in assembling the RVQoE configuration</w:t>
      </w:r>
    </w:p>
    <w:p w14:paraId="5725BCFB" w14:textId="5DCFD468" w:rsidR="0071456B" w:rsidRDefault="0071456B" w:rsidP="00354980">
      <w:pPr>
        <w:spacing w:after="0"/>
        <w:rPr>
          <w:rFonts w:ascii="Calibri" w:eastAsia="Times New Roman" w:hAnsi="Calibri" w:cs="Calibri"/>
          <w:sz w:val="22"/>
          <w:szCs w:val="22"/>
          <w:lang w:val="en-US"/>
        </w:rPr>
      </w:pPr>
    </w:p>
    <w:p w14:paraId="091470DA" w14:textId="245E93CB" w:rsidR="0071456B" w:rsidRDefault="0071456B" w:rsidP="00354980">
      <w:pPr>
        <w:spacing w:after="0"/>
        <w:rPr>
          <w:rFonts w:ascii="Calibri" w:eastAsia="Times New Roman" w:hAnsi="Calibri" w:cs="Calibri"/>
          <w:sz w:val="22"/>
          <w:szCs w:val="22"/>
          <w:lang w:val="en-US"/>
        </w:rPr>
      </w:pPr>
      <w:r w:rsidRPr="0071456B">
        <w:rPr>
          <w:rFonts w:ascii="Calibri" w:eastAsia="Times New Roman" w:hAnsi="Calibri" w:cs="Calibri"/>
          <w:b/>
          <w:bCs/>
          <w:sz w:val="22"/>
          <w:szCs w:val="22"/>
          <w:lang w:val="en-US"/>
        </w:rPr>
        <w:t>Proposal</w:t>
      </w:r>
      <w:r w:rsidR="001E6218">
        <w:rPr>
          <w:rFonts w:ascii="Calibri" w:eastAsia="Times New Roman" w:hAnsi="Calibri" w:cs="Calibri"/>
          <w:b/>
          <w:bCs/>
          <w:sz w:val="22"/>
          <w:szCs w:val="22"/>
          <w:lang w:val="en-US"/>
        </w:rPr>
        <w:t xml:space="preserve"> 6</w:t>
      </w:r>
      <w:r>
        <w:rPr>
          <w:rFonts w:ascii="Calibri" w:eastAsia="Times New Roman" w:hAnsi="Calibri" w:cs="Calibri"/>
          <w:sz w:val="22"/>
          <w:szCs w:val="22"/>
          <w:lang w:val="en-US"/>
        </w:rPr>
        <w:t>: There is no need for gNB-</w:t>
      </w:r>
      <w:r w:rsidRPr="0071456B">
        <w:rPr>
          <w:rFonts w:ascii="Calibri" w:eastAsia="Times New Roman" w:hAnsi="Calibri" w:cs="Calibri"/>
          <w:sz w:val="22"/>
          <w:szCs w:val="22"/>
          <w:lang w:val="en-US"/>
        </w:rPr>
        <w:t xml:space="preserve">DU </w:t>
      </w:r>
      <w:r>
        <w:rPr>
          <w:rFonts w:ascii="Calibri" w:eastAsia="Times New Roman" w:hAnsi="Calibri" w:cs="Calibri"/>
          <w:sz w:val="22"/>
          <w:szCs w:val="22"/>
          <w:lang w:val="en-US"/>
        </w:rPr>
        <w:t xml:space="preserve">to </w:t>
      </w:r>
      <w:r w:rsidRPr="0071456B">
        <w:rPr>
          <w:rFonts w:ascii="Calibri" w:eastAsia="Times New Roman" w:hAnsi="Calibri" w:cs="Calibri"/>
          <w:sz w:val="22"/>
          <w:szCs w:val="22"/>
          <w:lang w:val="en-US"/>
        </w:rPr>
        <w:t>participate in assembling the RVQoE configuration</w:t>
      </w:r>
    </w:p>
    <w:p w14:paraId="4472BF18" w14:textId="77777777" w:rsidR="008C0AE9" w:rsidRDefault="008C0AE9" w:rsidP="00354980">
      <w:pPr>
        <w:spacing w:after="0"/>
        <w:rPr>
          <w:rFonts w:ascii="Calibri" w:eastAsia="Times New Roman" w:hAnsi="Calibri" w:cs="Calibri"/>
          <w:sz w:val="22"/>
          <w:szCs w:val="22"/>
          <w:lang w:val="en-US"/>
        </w:rPr>
      </w:pPr>
    </w:p>
    <w:p w14:paraId="47B2C8B0" w14:textId="4C3CF7E6" w:rsidR="00AE77EC" w:rsidRDefault="00337286" w:rsidP="00354980">
      <w:pPr>
        <w:spacing w:after="0"/>
        <w:rPr>
          <w:rFonts w:ascii="Calibri" w:eastAsia="Times New Roman" w:hAnsi="Calibri" w:cs="Calibri"/>
          <w:sz w:val="22"/>
          <w:szCs w:val="22"/>
          <w:lang w:val="en-US"/>
        </w:rPr>
      </w:pPr>
      <w:r>
        <w:rPr>
          <w:rFonts w:ascii="Calibri" w:eastAsia="Times New Roman" w:hAnsi="Calibri" w:cs="Calibri"/>
          <w:sz w:val="22"/>
          <w:szCs w:val="22"/>
          <w:lang w:val="en-US"/>
        </w:rPr>
        <w:t>Also,</w:t>
      </w:r>
      <w:r w:rsidR="00B07AE1">
        <w:rPr>
          <w:rFonts w:ascii="Calibri" w:eastAsia="Times New Roman" w:hAnsi="Calibri" w:cs="Calibri"/>
          <w:sz w:val="22"/>
          <w:szCs w:val="22"/>
          <w:lang w:val="en-US"/>
        </w:rPr>
        <w:t xml:space="preserve"> </w:t>
      </w:r>
      <w:r w:rsidR="009625F7">
        <w:rPr>
          <w:rFonts w:ascii="Calibri" w:eastAsia="Times New Roman" w:hAnsi="Calibri" w:cs="Calibri"/>
          <w:sz w:val="22"/>
          <w:szCs w:val="22"/>
          <w:lang w:val="en-US"/>
        </w:rPr>
        <w:t xml:space="preserve">this scenario is </w:t>
      </w:r>
      <w:r w:rsidR="00AE77EC">
        <w:rPr>
          <w:rFonts w:ascii="Calibri" w:eastAsia="Times New Roman" w:hAnsi="Calibri" w:cs="Calibri"/>
          <w:sz w:val="22"/>
          <w:szCs w:val="22"/>
          <w:lang w:val="en-US"/>
        </w:rPr>
        <w:t xml:space="preserve">slightly </w:t>
      </w:r>
      <w:r w:rsidR="009625F7">
        <w:rPr>
          <w:rFonts w:ascii="Calibri" w:eastAsia="Times New Roman" w:hAnsi="Calibri" w:cs="Calibri"/>
          <w:sz w:val="22"/>
          <w:szCs w:val="22"/>
          <w:lang w:val="en-US"/>
        </w:rPr>
        <w:t>different from the NR-DC scenario wher</w:t>
      </w:r>
      <w:r w:rsidR="00AE77EC">
        <w:rPr>
          <w:rFonts w:ascii="Calibri" w:eastAsia="Times New Roman" w:hAnsi="Calibri" w:cs="Calibri"/>
          <w:sz w:val="22"/>
          <w:szCs w:val="22"/>
          <w:lang w:val="en-US"/>
        </w:rPr>
        <w:t>ein upon figuring out that the application uses the bearers provided by the other node,</w:t>
      </w:r>
      <w:r w:rsidR="00F80C7F">
        <w:rPr>
          <w:rFonts w:ascii="Calibri" w:eastAsia="Times New Roman" w:hAnsi="Calibri" w:cs="Calibri"/>
          <w:sz w:val="22"/>
          <w:szCs w:val="22"/>
          <w:lang w:val="en-US"/>
        </w:rPr>
        <w:t xml:space="preserve"> the </w:t>
      </w:r>
      <w:r w:rsidR="007319D4">
        <w:rPr>
          <w:rFonts w:ascii="Calibri" w:eastAsia="Times New Roman" w:hAnsi="Calibri" w:cs="Calibri"/>
          <w:sz w:val="22"/>
          <w:szCs w:val="22"/>
          <w:lang w:val="en-US"/>
        </w:rPr>
        <w:t xml:space="preserve">node which is currently receiving the RVQoE reports </w:t>
      </w:r>
      <w:r w:rsidR="00D709BE">
        <w:rPr>
          <w:rFonts w:ascii="Calibri" w:eastAsia="Times New Roman" w:hAnsi="Calibri" w:cs="Calibri"/>
          <w:sz w:val="22"/>
          <w:szCs w:val="22"/>
          <w:lang w:val="en-US"/>
        </w:rPr>
        <w:t>will</w:t>
      </w:r>
      <w:r w:rsidR="007319D4">
        <w:rPr>
          <w:rFonts w:ascii="Calibri" w:eastAsia="Times New Roman" w:hAnsi="Calibri" w:cs="Calibri"/>
          <w:sz w:val="22"/>
          <w:szCs w:val="22"/>
          <w:lang w:val="en-US"/>
        </w:rPr>
        <w:t xml:space="preserve"> ensure that the </w:t>
      </w:r>
      <w:r>
        <w:rPr>
          <w:rFonts w:ascii="Calibri" w:eastAsia="Times New Roman" w:hAnsi="Calibri" w:cs="Calibri"/>
          <w:sz w:val="22"/>
          <w:szCs w:val="22"/>
          <w:lang w:val="en-US"/>
        </w:rPr>
        <w:t xml:space="preserve">RVQoE configuration intended by the other node is taken into </w:t>
      </w:r>
      <w:r w:rsidR="00D709BE">
        <w:rPr>
          <w:rFonts w:ascii="Calibri" w:eastAsia="Times New Roman" w:hAnsi="Calibri" w:cs="Calibri"/>
          <w:sz w:val="22"/>
          <w:szCs w:val="22"/>
          <w:lang w:val="en-US"/>
        </w:rPr>
        <w:t>account</w:t>
      </w:r>
      <w:r>
        <w:rPr>
          <w:rFonts w:ascii="Calibri" w:eastAsia="Times New Roman" w:hAnsi="Calibri" w:cs="Calibri"/>
          <w:sz w:val="22"/>
          <w:szCs w:val="22"/>
          <w:lang w:val="en-US"/>
        </w:rPr>
        <w:t xml:space="preserve"> and is not neglected. Whereas here</w:t>
      </w:r>
      <w:r w:rsidR="00D709BE">
        <w:rPr>
          <w:rFonts w:ascii="Calibri" w:eastAsia="Times New Roman" w:hAnsi="Calibri" w:cs="Calibri"/>
          <w:sz w:val="22"/>
          <w:szCs w:val="22"/>
          <w:lang w:val="en-US"/>
        </w:rPr>
        <w:t>,</w:t>
      </w:r>
      <w:r>
        <w:rPr>
          <w:rFonts w:ascii="Calibri" w:eastAsia="Times New Roman" w:hAnsi="Calibri" w:cs="Calibri"/>
          <w:sz w:val="22"/>
          <w:szCs w:val="22"/>
          <w:lang w:val="en-US"/>
        </w:rPr>
        <w:t xml:space="preserve"> the gNB-CU is the final decision maker anyway and can’t prioritize certain gNB-DU (e.g, MN-DU’s preference over SN-DU’s preference).</w:t>
      </w:r>
    </w:p>
    <w:p w14:paraId="4A2F94C0" w14:textId="77777777" w:rsidR="00AE77EC" w:rsidRDefault="00AE77EC" w:rsidP="00354980">
      <w:pPr>
        <w:spacing w:after="0"/>
        <w:rPr>
          <w:rFonts w:ascii="Calibri" w:eastAsia="Times New Roman" w:hAnsi="Calibri" w:cs="Calibri"/>
          <w:sz w:val="22"/>
          <w:szCs w:val="22"/>
          <w:lang w:val="en-US"/>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02A1E131" w14:textId="0A02C024" w:rsidR="00F5113B" w:rsidRPr="0071456B" w:rsidRDefault="0071456B" w:rsidP="00F5113B">
      <w:pPr>
        <w:spacing w:after="0"/>
        <w:rPr>
          <w:rFonts w:ascii="Calibri" w:eastAsia="Times New Roman" w:hAnsi="Calibri" w:cs="Calibri"/>
          <w:b/>
          <w:bCs/>
          <w:sz w:val="24"/>
          <w:szCs w:val="24"/>
          <w:u w:val="single"/>
          <w:lang w:val="en-US"/>
        </w:rPr>
      </w:pPr>
      <w:r w:rsidRPr="0071456B">
        <w:rPr>
          <w:rFonts w:ascii="Calibri" w:eastAsia="Times New Roman" w:hAnsi="Calibri" w:cs="Calibri"/>
          <w:b/>
          <w:bCs/>
          <w:sz w:val="24"/>
          <w:szCs w:val="24"/>
          <w:u w:val="single"/>
          <w:lang w:val="en-US"/>
        </w:rPr>
        <w:t>Threshold-based triggers for RAN visible QoE</w:t>
      </w:r>
    </w:p>
    <w:p w14:paraId="6F5C26EE" w14:textId="3D4E6615" w:rsidR="0071456B" w:rsidRDefault="0071456B" w:rsidP="0071456B">
      <w:pPr>
        <w:spacing w:after="0"/>
        <w:rPr>
          <w:rFonts w:ascii="Calibri" w:eastAsia="Times New Roman" w:hAnsi="Calibri" w:cs="Calibri"/>
          <w:sz w:val="22"/>
          <w:szCs w:val="22"/>
          <w:lang w:val="en-US"/>
        </w:rPr>
      </w:pPr>
    </w:p>
    <w:p w14:paraId="4A437D46" w14:textId="77777777" w:rsidR="00AD24E3" w:rsidRDefault="00AD24E3" w:rsidP="00AD24E3">
      <w:pPr>
        <w:spacing w:after="0"/>
        <w:rPr>
          <w:rFonts w:ascii="Calibri" w:eastAsia="Times New Roman" w:hAnsi="Calibri" w:cs="Calibri"/>
          <w:sz w:val="22"/>
          <w:szCs w:val="22"/>
          <w:lang w:val="en-US"/>
        </w:rPr>
      </w:pPr>
      <w:r w:rsidRPr="0095498F">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It would be interesting for the gNB to know when </w:t>
      </w:r>
      <w:r w:rsidRPr="0095498F">
        <w:rPr>
          <w:rFonts w:ascii="Calibri" w:eastAsia="Times New Roman" w:hAnsi="Calibri" w:cs="Calibri"/>
          <w:sz w:val="22"/>
          <w:szCs w:val="22"/>
          <w:lang w:val="en-US"/>
        </w:rPr>
        <w:t xml:space="preserve">the application layer buffer level is </w:t>
      </w:r>
      <w:r>
        <w:rPr>
          <w:rFonts w:ascii="Calibri" w:eastAsia="Times New Roman" w:hAnsi="Calibri" w:cs="Calibri"/>
          <w:sz w:val="22"/>
          <w:szCs w:val="22"/>
          <w:lang w:val="en-US"/>
        </w:rPr>
        <w:t>small so that it can prioritize those bearers</w:t>
      </w:r>
      <w:r w:rsidRPr="00C94101">
        <w:rPr>
          <w:rFonts w:ascii="Calibri" w:eastAsia="Times New Roman" w:hAnsi="Calibri" w:cs="Calibri"/>
          <w:sz w:val="22"/>
          <w:szCs w:val="22"/>
          <w:lang w:val="en-US"/>
        </w:rPr>
        <w:t xml:space="preserve"> and provide DL grants to fill the application buffe</w:t>
      </w:r>
      <w:r>
        <w:rPr>
          <w:rFonts w:ascii="Calibri" w:eastAsia="Times New Roman" w:hAnsi="Calibri" w:cs="Calibri"/>
          <w:sz w:val="22"/>
          <w:szCs w:val="22"/>
          <w:lang w:val="en-US"/>
        </w:rPr>
        <w:t>r</w:t>
      </w:r>
      <w:r w:rsidRPr="00C94101">
        <w:rPr>
          <w:rFonts w:ascii="Calibri" w:eastAsia="Times New Roman" w:hAnsi="Calibri" w:cs="Calibri"/>
          <w:sz w:val="22"/>
          <w:szCs w:val="22"/>
          <w:lang w:val="en-US"/>
        </w:rPr>
        <w:t>.</w:t>
      </w:r>
    </w:p>
    <w:p w14:paraId="72404337" w14:textId="77777777" w:rsidR="00AD24E3" w:rsidRDefault="00AD24E3" w:rsidP="00AD24E3">
      <w:pPr>
        <w:spacing w:after="0"/>
        <w:rPr>
          <w:rFonts w:ascii="Calibri" w:eastAsia="Times New Roman" w:hAnsi="Calibri" w:cs="Calibri"/>
          <w:b/>
          <w:bCs/>
          <w:sz w:val="22"/>
          <w:szCs w:val="22"/>
          <w:lang w:val="en-US"/>
        </w:rPr>
      </w:pPr>
    </w:p>
    <w:p w14:paraId="1A29C298" w14:textId="4A9F1309" w:rsidR="00AD24E3" w:rsidRDefault="00AD24E3" w:rsidP="00AD24E3">
      <w:pPr>
        <w:spacing w:after="0"/>
        <w:rPr>
          <w:rFonts w:ascii="Calibri" w:eastAsia="Times New Roman" w:hAnsi="Calibri" w:cs="Calibri"/>
          <w:sz w:val="22"/>
          <w:szCs w:val="22"/>
          <w:lang w:val="en-US"/>
        </w:rPr>
      </w:pPr>
      <w:r w:rsidRPr="001C43F2">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sidRPr="001C43F2">
        <w:rPr>
          <w:rFonts w:ascii="Calibri" w:eastAsia="Times New Roman" w:hAnsi="Calibri" w:cs="Calibri"/>
          <w:b/>
          <w:bCs/>
          <w:sz w:val="22"/>
          <w:szCs w:val="22"/>
          <w:lang w:val="en-US"/>
        </w:rPr>
        <w:t>:</w:t>
      </w:r>
      <w:r w:rsidRPr="001C43F2">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In order to </w:t>
      </w:r>
      <w:r w:rsidR="00A249B2">
        <w:rPr>
          <w:rFonts w:ascii="Calibri" w:eastAsia="Times New Roman" w:hAnsi="Calibri" w:cs="Calibri"/>
          <w:sz w:val="22"/>
          <w:szCs w:val="22"/>
          <w:lang w:val="en-US"/>
        </w:rPr>
        <w:t>support</w:t>
      </w:r>
      <w:r>
        <w:rPr>
          <w:rFonts w:ascii="Calibri" w:eastAsia="Times New Roman" w:hAnsi="Calibri" w:cs="Calibri"/>
          <w:sz w:val="22"/>
          <w:szCs w:val="22"/>
          <w:lang w:val="en-US"/>
        </w:rPr>
        <w:t xml:space="preserve"> threshold-</w:t>
      </w:r>
      <w:r w:rsidR="00A249B2">
        <w:rPr>
          <w:rFonts w:ascii="Calibri" w:eastAsia="Times New Roman" w:hAnsi="Calibri" w:cs="Calibri"/>
          <w:sz w:val="22"/>
          <w:szCs w:val="22"/>
          <w:lang w:val="en-US"/>
        </w:rPr>
        <w:t xml:space="preserve">based </w:t>
      </w:r>
      <w:r>
        <w:rPr>
          <w:rFonts w:ascii="Calibri" w:eastAsia="Times New Roman" w:hAnsi="Calibri" w:cs="Calibri"/>
          <w:sz w:val="22"/>
          <w:szCs w:val="22"/>
          <w:lang w:val="en-US"/>
        </w:rPr>
        <w:t xml:space="preserve">reporting </w:t>
      </w:r>
      <w:r w:rsidR="00A249B2">
        <w:rPr>
          <w:rFonts w:ascii="Calibri" w:eastAsia="Times New Roman" w:hAnsi="Calibri" w:cs="Calibri"/>
          <w:sz w:val="22"/>
          <w:szCs w:val="22"/>
          <w:lang w:val="en-US"/>
        </w:rPr>
        <w:t>of</w:t>
      </w:r>
      <w:r>
        <w:rPr>
          <w:rFonts w:ascii="Calibri" w:eastAsia="Times New Roman" w:hAnsi="Calibri" w:cs="Calibri"/>
          <w:sz w:val="22"/>
          <w:szCs w:val="22"/>
          <w:lang w:val="en-US"/>
        </w:rPr>
        <w:t xml:space="preserve"> buffer level,</w:t>
      </w:r>
      <w:r w:rsidRPr="001C43F2">
        <w:rPr>
          <w:rFonts w:ascii="Calibri" w:eastAsia="Times New Roman" w:hAnsi="Calibri" w:cs="Calibri"/>
          <w:sz w:val="22"/>
          <w:szCs w:val="22"/>
          <w:lang w:val="en-US"/>
        </w:rPr>
        <w:t xml:space="preserve"> </w:t>
      </w:r>
      <w:r>
        <w:rPr>
          <w:rFonts w:ascii="Calibri" w:eastAsia="Times New Roman" w:hAnsi="Calibri" w:cs="Calibri"/>
          <w:sz w:val="22"/>
          <w:szCs w:val="22"/>
          <w:lang w:val="en-US"/>
        </w:rPr>
        <w:t>gNB</w:t>
      </w:r>
      <w:r w:rsidRPr="001C43F2">
        <w:rPr>
          <w:rFonts w:ascii="Calibri" w:eastAsia="Times New Roman" w:hAnsi="Calibri" w:cs="Calibri"/>
          <w:sz w:val="22"/>
          <w:szCs w:val="22"/>
          <w:lang w:val="en-US"/>
        </w:rPr>
        <w:t xml:space="preserve"> </w:t>
      </w:r>
      <w:r w:rsidR="00A249B2">
        <w:rPr>
          <w:rFonts w:ascii="Calibri" w:eastAsia="Times New Roman" w:hAnsi="Calibri" w:cs="Calibri"/>
          <w:sz w:val="22"/>
          <w:szCs w:val="22"/>
          <w:lang w:val="en-US"/>
        </w:rPr>
        <w:t xml:space="preserve">may configure </w:t>
      </w:r>
      <w:r>
        <w:rPr>
          <w:rFonts w:ascii="Calibri" w:eastAsia="Times New Roman" w:hAnsi="Calibri" w:cs="Calibri"/>
          <w:sz w:val="22"/>
          <w:szCs w:val="22"/>
          <w:lang w:val="en-US"/>
        </w:rPr>
        <w:t>the following to UE:</w:t>
      </w:r>
    </w:p>
    <w:p w14:paraId="4F1B04BB" w14:textId="77777777" w:rsidR="00AD24E3" w:rsidRDefault="00AD24E3" w:rsidP="00AD24E3">
      <w:pPr>
        <w:pStyle w:val="ListParagraph"/>
        <w:numPr>
          <w:ilvl w:val="0"/>
          <w:numId w:val="13"/>
        </w:numPr>
        <w:spacing w:after="0"/>
        <w:rPr>
          <w:rFonts w:ascii="Calibri" w:eastAsia="Times New Roman" w:hAnsi="Calibri" w:cs="Calibri"/>
          <w:sz w:val="22"/>
          <w:szCs w:val="22"/>
          <w:lang w:val="en-US"/>
        </w:rPr>
      </w:pPr>
      <w:r>
        <w:rPr>
          <w:rFonts w:ascii="Calibri" w:eastAsia="Times New Roman" w:hAnsi="Calibri" w:cs="Calibri"/>
          <w:sz w:val="22"/>
          <w:szCs w:val="22"/>
          <w:lang w:val="en-US"/>
        </w:rPr>
        <w:t>T</w:t>
      </w:r>
      <w:r w:rsidRPr="008F7F30">
        <w:rPr>
          <w:rFonts w:ascii="Calibri" w:eastAsia="Times New Roman" w:hAnsi="Calibri" w:cs="Calibri"/>
          <w:sz w:val="22"/>
          <w:szCs w:val="22"/>
          <w:lang w:val="en-US"/>
        </w:rPr>
        <w:t>hreshol</w:t>
      </w:r>
      <w:r>
        <w:rPr>
          <w:rFonts w:ascii="Calibri" w:eastAsia="Times New Roman" w:hAnsi="Calibri" w:cs="Calibri"/>
          <w:sz w:val="22"/>
          <w:szCs w:val="22"/>
          <w:lang w:val="en-US"/>
        </w:rPr>
        <w:t>d</w:t>
      </w:r>
    </w:p>
    <w:p w14:paraId="5A9146A9" w14:textId="77777777" w:rsidR="00AD24E3" w:rsidRDefault="00AD24E3" w:rsidP="00AD24E3">
      <w:pPr>
        <w:pStyle w:val="ListParagraph"/>
        <w:numPr>
          <w:ilvl w:val="0"/>
          <w:numId w:val="13"/>
        </w:numPr>
        <w:spacing w:after="0"/>
        <w:rPr>
          <w:rFonts w:ascii="Calibri" w:eastAsia="Times New Roman" w:hAnsi="Calibri" w:cs="Calibri"/>
          <w:sz w:val="22"/>
          <w:szCs w:val="22"/>
          <w:lang w:val="en-US"/>
        </w:rPr>
      </w:pPr>
      <w:r w:rsidRPr="008F7F30">
        <w:rPr>
          <w:rFonts w:ascii="Calibri" w:eastAsia="Times New Roman" w:hAnsi="Calibri" w:cs="Calibri"/>
          <w:sz w:val="22"/>
          <w:szCs w:val="22"/>
          <w:lang w:val="en-US"/>
        </w:rPr>
        <w:t>Time-to-Trigger (TTT)</w:t>
      </w:r>
    </w:p>
    <w:p w14:paraId="12509B3D" w14:textId="77777777" w:rsidR="00AD24E3" w:rsidRDefault="00AD24E3" w:rsidP="00AD24E3">
      <w:pPr>
        <w:pStyle w:val="ListParagraph"/>
        <w:numPr>
          <w:ilvl w:val="0"/>
          <w:numId w:val="13"/>
        </w:numPr>
        <w:spacing w:after="0"/>
        <w:rPr>
          <w:rFonts w:ascii="Calibri" w:eastAsia="Times New Roman" w:hAnsi="Calibri" w:cs="Calibri"/>
          <w:sz w:val="22"/>
          <w:szCs w:val="22"/>
          <w:lang w:val="en-US"/>
        </w:rPr>
      </w:pPr>
      <w:r>
        <w:rPr>
          <w:rFonts w:ascii="Calibri" w:eastAsia="Times New Roman" w:hAnsi="Calibri" w:cs="Calibri"/>
          <w:sz w:val="22"/>
          <w:szCs w:val="22"/>
          <w:lang w:val="en-US"/>
        </w:rPr>
        <w:t>ReportAmount</w:t>
      </w:r>
    </w:p>
    <w:p w14:paraId="39601E78" w14:textId="77777777" w:rsidR="00AD24E3" w:rsidRPr="008F7F30" w:rsidRDefault="00AD24E3" w:rsidP="00AD24E3">
      <w:pPr>
        <w:pStyle w:val="ListParagraph"/>
        <w:numPr>
          <w:ilvl w:val="0"/>
          <w:numId w:val="13"/>
        </w:numPr>
        <w:spacing w:after="0"/>
        <w:rPr>
          <w:rFonts w:ascii="Calibri" w:eastAsia="Times New Roman" w:hAnsi="Calibri" w:cs="Calibri"/>
          <w:sz w:val="22"/>
          <w:szCs w:val="22"/>
          <w:lang w:val="en-US"/>
        </w:rPr>
      </w:pPr>
      <w:r>
        <w:rPr>
          <w:rFonts w:ascii="Calibri" w:eastAsia="Times New Roman" w:hAnsi="Calibri" w:cs="Calibri"/>
          <w:sz w:val="22"/>
          <w:szCs w:val="22"/>
          <w:lang w:val="en-US"/>
        </w:rPr>
        <w:t>ReportInterval</w:t>
      </w:r>
    </w:p>
    <w:p w14:paraId="3B38C5D7" w14:textId="77777777" w:rsidR="00AD24E3" w:rsidRDefault="00AD24E3" w:rsidP="00AD24E3">
      <w:pPr>
        <w:spacing w:after="0"/>
        <w:rPr>
          <w:rFonts w:ascii="Calibri" w:eastAsia="Times New Roman" w:hAnsi="Calibri" w:cs="Calibri"/>
          <w:b/>
          <w:bCs/>
          <w:sz w:val="22"/>
          <w:szCs w:val="22"/>
          <w:lang w:val="en-US"/>
        </w:rPr>
      </w:pPr>
    </w:p>
    <w:p w14:paraId="377DBAFC" w14:textId="265F908A" w:rsidR="00AD24E3" w:rsidRDefault="00AD24E3" w:rsidP="00AD24E3">
      <w:pPr>
        <w:spacing w:after="0"/>
        <w:rPr>
          <w:rFonts w:ascii="Calibri" w:eastAsia="Times New Roman" w:hAnsi="Calibri" w:cs="Calibri"/>
          <w:sz w:val="22"/>
          <w:szCs w:val="22"/>
          <w:lang w:val="en-US"/>
        </w:rPr>
      </w:pPr>
      <w:r w:rsidRPr="00594CC1">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UE will start reporting the buffer level only when the buffer level is smaller than a threshold for a certain TTT duration</w:t>
      </w:r>
    </w:p>
    <w:p w14:paraId="1F986494" w14:textId="77777777" w:rsidR="00D709BE" w:rsidRDefault="00D709BE" w:rsidP="00D709BE">
      <w:pPr>
        <w:spacing w:after="0"/>
        <w:rPr>
          <w:rFonts w:ascii="Calibri" w:eastAsia="Times New Roman" w:hAnsi="Calibri" w:cs="Calibri"/>
          <w:sz w:val="22"/>
          <w:szCs w:val="22"/>
          <w:lang w:val="en-US"/>
        </w:rPr>
      </w:pPr>
    </w:p>
    <w:p w14:paraId="34573DEF" w14:textId="7E956C1C" w:rsidR="00D709BE" w:rsidRDefault="00D709BE" w:rsidP="00D709BE">
      <w:pPr>
        <w:spacing w:after="0"/>
        <w:rPr>
          <w:rFonts w:ascii="Calibri" w:eastAsia="Times New Roman" w:hAnsi="Calibri" w:cs="Calibri"/>
          <w:sz w:val="22"/>
          <w:szCs w:val="22"/>
          <w:lang w:val="en-US"/>
        </w:rPr>
      </w:pPr>
      <w:r w:rsidRPr="00F017F9">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3</w:t>
      </w:r>
      <w:r w:rsidRPr="00F017F9">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Upon meeting the threshold, UE will </w:t>
      </w:r>
      <w:r w:rsidRPr="00F017F9">
        <w:rPr>
          <w:rFonts w:ascii="Calibri" w:eastAsia="Times New Roman" w:hAnsi="Calibri" w:cs="Calibri"/>
          <w:sz w:val="22"/>
          <w:szCs w:val="22"/>
          <w:lang w:val="en-US"/>
        </w:rPr>
        <w:t xml:space="preserve">report RVQoE periodicially as indicated by the </w:t>
      </w:r>
      <w:r w:rsidRPr="00213E6A">
        <w:rPr>
          <w:rFonts w:ascii="Calibri" w:eastAsia="Times New Roman" w:hAnsi="Calibri" w:cs="Calibri"/>
          <w:i/>
          <w:iCs/>
          <w:sz w:val="22"/>
          <w:szCs w:val="22"/>
          <w:lang w:val="en-US"/>
        </w:rPr>
        <w:t>ReportInterval</w:t>
      </w:r>
      <w:r w:rsidRPr="00F017F9">
        <w:rPr>
          <w:rFonts w:ascii="Calibri" w:eastAsia="Times New Roman" w:hAnsi="Calibri" w:cs="Calibri"/>
          <w:sz w:val="22"/>
          <w:szCs w:val="22"/>
          <w:lang w:val="en-US"/>
        </w:rPr>
        <w:t xml:space="preserve"> for the </w:t>
      </w:r>
      <w:r w:rsidRPr="00213E6A">
        <w:rPr>
          <w:rFonts w:ascii="Calibri" w:eastAsia="Times New Roman" w:hAnsi="Calibri" w:cs="Calibri"/>
          <w:i/>
          <w:iCs/>
          <w:sz w:val="22"/>
          <w:szCs w:val="22"/>
          <w:lang w:val="en-US"/>
        </w:rPr>
        <w:t>ReportAmount</w:t>
      </w:r>
      <w:r w:rsidRPr="00F017F9">
        <w:rPr>
          <w:rFonts w:ascii="Calibri" w:eastAsia="Times New Roman" w:hAnsi="Calibri" w:cs="Calibri"/>
          <w:sz w:val="22"/>
          <w:szCs w:val="22"/>
          <w:lang w:val="en-US"/>
        </w:rPr>
        <w:t xml:space="preserve"> number of times</w:t>
      </w:r>
      <w:r>
        <w:rPr>
          <w:rFonts w:ascii="Calibri" w:eastAsia="Times New Roman" w:hAnsi="Calibri" w:cs="Calibri"/>
          <w:sz w:val="22"/>
          <w:szCs w:val="22"/>
          <w:lang w:val="en-US"/>
        </w:rPr>
        <w:t xml:space="preserve"> </w:t>
      </w:r>
      <w:r w:rsidR="006558DA">
        <w:rPr>
          <w:rFonts w:ascii="Calibri" w:eastAsia="Times New Roman" w:hAnsi="Calibri" w:cs="Calibri"/>
          <w:sz w:val="22"/>
          <w:szCs w:val="22"/>
          <w:lang w:val="en-US"/>
        </w:rPr>
        <w:t>unless</w:t>
      </w:r>
      <w:r>
        <w:rPr>
          <w:rFonts w:ascii="Calibri" w:eastAsia="Times New Roman" w:hAnsi="Calibri" w:cs="Calibri"/>
          <w:sz w:val="22"/>
          <w:szCs w:val="22"/>
          <w:lang w:val="en-US"/>
        </w:rPr>
        <w:t xml:space="preserve"> the session ends.</w:t>
      </w:r>
    </w:p>
    <w:p w14:paraId="6E3EF693" w14:textId="77777777" w:rsidR="00D709BE" w:rsidRPr="00D709BE" w:rsidRDefault="00D709BE" w:rsidP="0071456B">
      <w:pPr>
        <w:spacing w:after="0"/>
        <w:rPr>
          <w:rFonts w:ascii="Calibri" w:eastAsia="Times New Roman" w:hAnsi="Calibri" w:cs="Calibri"/>
          <w:b/>
          <w:bCs/>
          <w:sz w:val="22"/>
          <w:szCs w:val="22"/>
          <w:lang w:val="en-US"/>
        </w:rPr>
      </w:pPr>
    </w:p>
    <w:p w14:paraId="7406A673" w14:textId="64C486D0" w:rsidR="0071456B" w:rsidRPr="0071456B" w:rsidRDefault="00097864" w:rsidP="0071456B">
      <w:pPr>
        <w:spacing w:after="0"/>
        <w:rPr>
          <w:rFonts w:ascii="Calibri" w:eastAsia="Times New Roman" w:hAnsi="Calibri" w:cs="Calibri"/>
          <w:b/>
          <w:bCs/>
          <w:sz w:val="24"/>
          <w:szCs w:val="24"/>
          <w:u w:val="single"/>
          <w:lang w:val="en-US"/>
        </w:rPr>
      </w:pPr>
      <w:r>
        <w:rPr>
          <w:rFonts w:ascii="Calibri" w:eastAsia="Times New Roman" w:hAnsi="Calibri" w:cs="Calibri"/>
          <w:b/>
          <w:bCs/>
          <w:sz w:val="24"/>
          <w:szCs w:val="24"/>
          <w:u w:val="single"/>
          <w:lang w:val="en-US"/>
        </w:rPr>
        <w:t>Deactivation of RVQoE reports</w:t>
      </w:r>
      <w:r w:rsidR="0071456B" w:rsidRPr="0071456B">
        <w:rPr>
          <w:rFonts w:ascii="Calibri" w:eastAsia="Times New Roman" w:hAnsi="Calibri" w:cs="Calibri"/>
          <w:b/>
          <w:bCs/>
          <w:sz w:val="24"/>
          <w:szCs w:val="24"/>
          <w:u w:val="single"/>
          <w:lang w:val="en-US"/>
        </w:rPr>
        <w:t xml:space="preserve"> over F1</w:t>
      </w:r>
    </w:p>
    <w:p w14:paraId="4B0A12B6" w14:textId="77777777" w:rsidR="0071456B" w:rsidRDefault="0071456B" w:rsidP="0071456B">
      <w:pPr>
        <w:spacing w:after="0"/>
        <w:rPr>
          <w:rFonts w:ascii="Calibri" w:eastAsia="Times New Roman" w:hAnsi="Calibri" w:cs="Calibri"/>
          <w:b/>
          <w:bCs/>
          <w:sz w:val="22"/>
          <w:szCs w:val="22"/>
          <w:lang w:val="en-US"/>
        </w:rPr>
      </w:pPr>
    </w:p>
    <w:p w14:paraId="07FAE455" w14:textId="77777777" w:rsidR="00DA0479" w:rsidRDefault="00DA0479" w:rsidP="00DA0479">
      <w:pPr>
        <w:spacing w:after="0"/>
        <w:contextualSpacing/>
        <w:rPr>
          <w:rFonts w:ascii="Calibri" w:eastAsia="Times New Roman" w:hAnsi="Calibri" w:cs="Calibri"/>
          <w:sz w:val="22"/>
          <w:szCs w:val="22"/>
          <w:lang w:val="en-US"/>
        </w:rPr>
      </w:pPr>
      <w:r w:rsidRPr="00651AC6">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4</w:t>
      </w:r>
      <w:r>
        <w:rPr>
          <w:rFonts w:ascii="Calibri" w:eastAsia="Times New Roman" w:hAnsi="Calibri" w:cs="Calibri"/>
          <w:sz w:val="22"/>
          <w:szCs w:val="22"/>
          <w:lang w:val="en-US"/>
        </w:rPr>
        <w:t xml:space="preserve">: RAN3 should discuss the scope of deactivation of RVQoE reports over F1AP i.e., a gNB-DU doesn’t want to receive the QOE INFORMATION TRANSFER </w:t>
      </w:r>
    </w:p>
    <w:p w14:paraId="3F1646FA" w14:textId="77777777" w:rsidR="00DA0479" w:rsidRPr="00651AC6" w:rsidRDefault="00DA0479" w:rsidP="00DA0479">
      <w:pPr>
        <w:pStyle w:val="ListParagraph"/>
        <w:numPr>
          <w:ilvl w:val="0"/>
          <w:numId w:val="11"/>
        </w:numPr>
        <w:spacing w:after="0"/>
        <w:rPr>
          <w:rFonts w:ascii="Calibri" w:eastAsia="Times New Roman" w:hAnsi="Calibri" w:cs="Calibri"/>
          <w:sz w:val="22"/>
          <w:szCs w:val="22"/>
          <w:lang w:val="en-US"/>
        </w:rPr>
      </w:pPr>
      <w:r w:rsidRPr="00651AC6">
        <w:rPr>
          <w:rFonts w:ascii="Calibri" w:eastAsia="Times New Roman" w:hAnsi="Calibri" w:cs="Calibri"/>
          <w:sz w:val="22"/>
          <w:szCs w:val="22"/>
          <w:lang w:val="en-US"/>
        </w:rPr>
        <w:t>Option 1: for all UEs belonging to the gNB-DU (because the gNB-DU is in overload)</w:t>
      </w:r>
    </w:p>
    <w:p w14:paraId="54ADC434" w14:textId="77777777" w:rsidR="00DA0479" w:rsidRPr="00651AC6" w:rsidRDefault="00DA0479" w:rsidP="00DA0479">
      <w:pPr>
        <w:pStyle w:val="ListParagraph"/>
        <w:numPr>
          <w:ilvl w:val="0"/>
          <w:numId w:val="11"/>
        </w:numPr>
        <w:spacing w:after="0"/>
        <w:rPr>
          <w:rFonts w:ascii="Calibri" w:eastAsia="Times New Roman" w:hAnsi="Calibri" w:cs="Calibri"/>
          <w:sz w:val="22"/>
          <w:szCs w:val="22"/>
          <w:lang w:val="en-US"/>
        </w:rPr>
      </w:pPr>
      <w:r w:rsidRPr="00651AC6">
        <w:rPr>
          <w:rFonts w:ascii="Calibri" w:eastAsia="Times New Roman" w:hAnsi="Calibri" w:cs="Calibri"/>
          <w:sz w:val="22"/>
          <w:szCs w:val="22"/>
          <w:lang w:val="en-US"/>
        </w:rPr>
        <w:t>Option 2: for a specific UE (e.g., if the UE is a cell center UE)</w:t>
      </w:r>
    </w:p>
    <w:p w14:paraId="294CE17F" w14:textId="77777777" w:rsidR="00DA0479" w:rsidRPr="00651AC6" w:rsidRDefault="00DA0479" w:rsidP="00DA0479">
      <w:pPr>
        <w:pStyle w:val="ListParagraph"/>
        <w:numPr>
          <w:ilvl w:val="0"/>
          <w:numId w:val="11"/>
        </w:numPr>
        <w:spacing w:after="0"/>
        <w:rPr>
          <w:rFonts w:ascii="Calibri" w:eastAsia="Times New Roman" w:hAnsi="Calibri" w:cs="Calibri"/>
          <w:sz w:val="22"/>
          <w:szCs w:val="22"/>
          <w:lang w:val="en-US"/>
        </w:rPr>
      </w:pPr>
      <w:r w:rsidRPr="00651AC6">
        <w:rPr>
          <w:rFonts w:ascii="Calibri" w:eastAsia="Times New Roman" w:hAnsi="Calibri" w:cs="Calibri"/>
          <w:sz w:val="22"/>
          <w:szCs w:val="22"/>
          <w:lang w:val="en-US"/>
        </w:rPr>
        <w:t>Option 3: for specific RVQoE configurations belonging to a specific UE (e.g., those RVQoE configurations which send RVQoE report very frequently)</w:t>
      </w:r>
    </w:p>
    <w:p w14:paraId="0C24D985" w14:textId="77777777" w:rsidR="00DA0479" w:rsidRDefault="00DA0479" w:rsidP="00DA0479">
      <w:pPr>
        <w:spacing w:after="0"/>
        <w:rPr>
          <w:rFonts w:ascii="Calibri" w:eastAsia="Times New Roman" w:hAnsi="Calibri" w:cs="Calibri"/>
          <w:b/>
          <w:bCs/>
          <w:sz w:val="22"/>
          <w:szCs w:val="22"/>
          <w:lang w:val="en-US"/>
        </w:rPr>
      </w:pPr>
    </w:p>
    <w:p w14:paraId="0573A07A" w14:textId="3D37437D" w:rsidR="00DA0479" w:rsidRDefault="00DA0479" w:rsidP="00DA0479">
      <w:pPr>
        <w:spacing w:after="0"/>
        <w:rPr>
          <w:rFonts w:ascii="Calibri" w:eastAsia="Times New Roman" w:hAnsi="Calibri" w:cs="Calibri"/>
          <w:sz w:val="22"/>
          <w:szCs w:val="22"/>
          <w:lang w:val="en-US"/>
        </w:rPr>
      </w:pPr>
      <w:r w:rsidRPr="002977D8">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C</w:t>
      </w:r>
      <w:r w:rsidRPr="002977D8">
        <w:rPr>
          <w:rFonts w:ascii="Calibri" w:eastAsia="Times New Roman" w:hAnsi="Calibri" w:cs="Calibri"/>
          <w:sz w:val="22"/>
          <w:szCs w:val="22"/>
          <w:lang w:val="en-US"/>
        </w:rPr>
        <w:t xml:space="preserve">urrently the gNB-DU doesn’t know the QoE Reference (or measConfigAppLayerID) and RVQoE </w:t>
      </w:r>
      <w:r>
        <w:rPr>
          <w:rFonts w:ascii="Calibri" w:eastAsia="Times New Roman" w:hAnsi="Calibri" w:cs="Calibri"/>
          <w:sz w:val="22"/>
          <w:szCs w:val="22"/>
          <w:lang w:val="en-US"/>
        </w:rPr>
        <w:t>configuration associated to that QoE Reference</w:t>
      </w:r>
      <w:r w:rsidRPr="002977D8">
        <w:rPr>
          <w:rFonts w:ascii="Calibri" w:eastAsia="Times New Roman" w:hAnsi="Calibri" w:cs="Calibri"/>
          <w:sz w:val="22"/>
          <w:szCs w:val="22"/>
          <w:lang w:val="en-US"/>
        </w:rPr>
        <w:t xml:space="preserve"> and therefore can’t request to deactivate a specific RVQoE configuration </w:t>
      </w:r>
      <w:r>
        <w:rPr>
          <w:rFonts w:ascii="Calibri" w:eastAsia="Times New Roman" w:hAnsi="Calibri" w:cs="Calibri"/>
          <w:sz w:val="22"/>
          <w:szCs w:val="22"/>
          <w:lang w:val="en-US"/>
        </w:rPr>
        <w:t xml:space="preserve">over F1AP </w:t>
      </w:r>
      <w:r w:rsidRPr="002977D8">
        <w:rPr>
          <w:rFonts w:ascii="Calibri" w:eastAsia="Times New Roman" w:hAnsi="Calibri" w:cs="Calibri"/>
          <w:sz w:val="22"/>
          <w:szCs w:val="22"/>
          <w:lang w:val="en-US"/>
        </w:rPr>
        <w:t>without this knowledge.</w:t>
      </w:r>
    </w:p>
    <w:p w14:paraId="7439E275" w14:textId="77777777" w:rsidR="00DA0479" w:rsidRDefault="00DA0479" w:rsidP="00DA0479">
      <w:pPr>
        <w:spacing w:after="0"/>
        <w:rPr>
          <w:rFonts w:ascii="Calibri" w:eastAsia="Times New Roman" w:hAnsi="Calibri" w:cs="Calibri"/>
          <w:b/>
          <w:bCs/>
          <w:sz w:val="22"/>
          <w:szCs w:val="22"/>
          <w:lang w:val="en-US"/>
        </w:rPr>
      </w:pPr>
    </w:p>
    <w:p w14:paraId="3FE02BE8" w14:textId="7CB98540" w:rsidR="00DA0479" w:rsidRDefault="00DA0479" w:rsidP="00DA0479">
      <w:pPr>
        <w:spacing w:after="0"/>
        <w:rPr>
          <w:rFonts w:ascii="Calibri" w:eastAsia="Times New Roman" w:hAnsi="Calibri" w:cs="Calibri"/>
          <w:sz w:val="22"/>
          <w:szCs w:val="22"/>
          <w:lang w:val="en-US"/>
        </w:rPr>
      </w:pPr>
      <w:r w:rsidRPr="00D83FE9">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5:</w:t>
      </w:r>
      <w:r>
        <w:rPr>
          <w:rFonts w:ascii="Calibri" w:eastAsia="Times New Roman" w:hAnsi="Calibri" w:cs="Calibri"/>
          <w:sz w:val="22"/>
          <w:szCs w:val="22"/>
          <w:lang w:val="en-US"/>
        </w:rPr>
        <w:t xml:space="preserve"> Option 2 is preferred i.e., the gNB-DU can </w:t>
      </w:r>
      <w:r w:rsidRPr="00767533">
        <w:rPr>
          <w:rFonts w:ascii="Calibri" w:eastAsia="Times New Roman" w:hAnsi="Calibri" w:cs="Calibri"/>
          <w:sz w:val="22"/>
          <w:szCs w:val="22"/>
          <w:lang w:val="en-US"/>
        </w:rPr>
        <w:t xml:space="preserve">indicate to </w:t>
      </w:r>
      <w:r>
        <w:rPr>
          <w:rFonts w:ascii="Calibri" w:eastAsia="Times New Roman" w:hAnsi="Calibri" w:cs="Calibri"/>
          <w:sz w:val="22"/>
          <w:szCs w:val="22"/>
          <w:lang w:val="en-US"/>
        </w:rPr>
        <w:t>gNB-</w:t>
      </w:r>
      <w:r w:rsidRPr="00767533">
        <w:rPr>
          <w:rFonts w:ascii="Calibri" w:eastAsia="Times New Roman" w:hAnsi="Calibri" w:cs="Calibri"/>
          <w:sz w:val="22"/>
          <w:szCs w:val="22"/>
          <w:lang w:val="en-US"/>
        </w:rPr>
        <w:t xml:space="preserve">CU </w:t>
      </w:r>
      <w:r>
        <w:rPr>
          <w:rFonts w:ascii="Calibri" w:eastAsia="Times New Roman" w:hAnsi="Calibri" w:cs="Calibri"/>
          <w:sz w:val="22"/>
          <w:szCs w:val="22"/>
          <w:lang w:val="en-US"/>
        </w:rPr>
        <w:t>via a flag that it is no longer interested in receiving the QOE INFORMATION TRANSFER for specific UE via a UE-associated class-2 message</w:t>
      </w:r>
    </w:p>
    <w:p w14:paraId="139330B9" w14:textId="214B5A21" w:rsidR="0071456B" w:rsidRDefault="0071456B" w:rsidP="0071456B">
      <w:pPr>
        <w:spacing w:after="0"/>
        <w:rPr>
          <w:rFonts w:ascii="Calibri" w:eastAsia="Times New Roman" w:hAnsi="Calibri" w:cs="Calibri"/>
          <w:b/>
          <w:bCs/>
          <w:sz w:val="22"/>
          <w:szCs w:val="22"/>
          <w:lang w:val="en-US"/>
        </w:rPr>
      </w:pPr>
    </w:p>
    <w:p w14:paraId="62CD6972" w14:textId="073F1ADA" w:rsidR="0071456B" w:rsidRDefault="0071456B" w:rsidP="0071456B">
      <w:pPr>
        <w:spacing w:after="0"/>
        <w:rPr>
          <w:rFonts w:ascii="Calibri" w:eastAsia="Times New Roman" w:hAnsi="Calibri" w:cs="Calibri"/>
          <w:b/>
          <w:bCs/>
          <w:sz w:val="22"/>
          <w:szCs w:val="22"/>
          <w:lang w:val="en-US"/>
        </w:rPr>
      </w:pPr>
      <w:r w:rsidRPr="0071456B">
        <w:rPr>
          <w:rFonts w:ascii="Calibri" w:eastAsia="Times New Roman" w:hAnsi="Calibri" w:cs="Calibri"/>
          <w:b/>
          <w:bCs/>
          <w:sz w:val="24"/>
          <w:szCs w:val="24"/>
          <w:u w:val="single"/>
          <w:lang w:val="en-US"/>
        </w:rPr>
        <w:t>gNB-DU participation in assembling the RVQoE configuration</w:t>
      </w:r>
    </w:p>
    <w:p w14:paraId="796D5A10" w14:textId="77777777" w:rsidR="0071456B" w:rsidRDefault="0071456B" w:rsidP="0071456B">
      <w:pPr>
        <w:spacing w:after="0"/>
        <w:rPr>
          <w:rFonts w:ascii="Calibri" w:eastAsia="Times New Roman" w:hAnsi="Calibri" w:cs="Calibri"/>
          <w:b/>
          <w:bCs/>
          <w:sz w:val="22"/>
          <w:szCs w:val="22"/>
          <w:lang w:val="en-US"/>
        </w:rPr>
      </w:pPr>
    </w:p>
    <w:p w14:paraId="57F40DD8" w14:textId="77777777" w:rsidR="00DA0479" w:rsidRDefault="00DA0479" w:rsidP="00DA0479">
      <w:pPr>
        <w:spacing w:after="0"/>
        <w:rPr>
          <w:rFonts w:ascii="Calibri" w:eastAsia="Times New Roman" w:hAnsi="Calibri" w:cs="Calibri"/>
          <w:sz w:val="22"/>
          <w:szCs w:val="22"/>
          <w:lang w:val="en-US"/>
        </w:rPr>
      </w:pPr>
      <w:r w:rsidRPr="0071456B">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Even if gNB-DU participates in assembling the RVQoE configuration (e.g., by proposing periodicity for RVQoE reporting or the list of interested RVQoE metrics), gNB-CU would have the final say in the RVQoE configuration.</w:t>
      </w:r>
    </w:p>
    <w:p w14:paraId="57FF47D8" w14:textId="77777777" w:rsidR="00DA0479" w:rsidRDefault="00DA0479" w:rsidP="00DA0479">
      <w:pPr>
        <w:spacing w:after="0"/>
        <w:rPr>
          <w:rFonts w:ascii="Calibri" w:eastAsia="Times New Roman" w:hAnsi="Calibri" w:cs="Calibri"/>
          <w:b/>
          <w:bCs/>
          <w:sz w:val="22"/>
          <w:szCs w:val="22"/>
          <w:lang w:val="en-US"/>
        </w:rPr>
      </w:pPr>
    </w:p>
    <w:p w14:paraId="48C40158" w14:textId="5714E76E" w:rsidR="00DA0479" w:rsidRDefault="00DA0479" w:rsidP="00DA0479">
      <w:pPr>
        <w:spacing w:after="0"/>
        <w:rPr>
          <w:rFonts w:ascii="Calibri" w:eastAsia="Times New Roman" w:hAnsi="Calibri" w:cs="Calibri"/>
          <w:sz w:val="22"/>
          <w:szCs w:val="22"/>
          <w:lang w:val="en-US"/>
        </w:rPr>
      </w:pPr>
      <w:r w:rsidRPr="0071456B">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4</w:t>
      </w:r>
      <w:r>
        <w:rPr>
          <w:rFonts w:ascii="Calibri" w:eastAsia="Times New Roman" w:hAnsi="Calibri" w:cs="Calibri"/>
          <w:sz w:val="22"/>
          <w:szCs w:val="22"/>
          <w:lang w:val="en-US"/>
        </w:rPr>
        <w:t>: In case the MN-DU and SN-DU provide contrasting suggestions for assembling the RVQoE configuration, this assistance from gNB-DU(s) is not useful.</w:t>
      </w:r>
    </w:p>
    <w:p w14:paraId="37E3A88E" w14:textId="77777777" w:rsidR="00DA0479" w:rsidRDefault="00DA0479" w:rsidP="00DA0479">
      <w:pPr>
        <w:spacing w:after="0"/>
        <w:rPr>
          <w:rFonts w:ascii="Calibri" w:eastAsia="Times New Roman" w:hAnsi="Calibri" w:cs="Calibri"/>
          <w:b/>
          <w:bCs/>
          <w:sz w:val="22"/>
          <w:szCs w:val="22"/>
          <w:lang w:val="en-US"/>
        </w:rPr>
      </w:pPr>
    </w:p>
    <w:p w14:paraId="227459B3" w14:textId="7773FDFC" w:rsidR="00DA0479" w:rsidRDefault="00DA0479" w:rsidP="00DA0479">
      <w:pPr>
        <w:spacing w:after="0"/>
        <w:rPr>
          <w:rFonts w:ascii="Calibri" w:eastAsia="Times New Roman" w:hAnsi="Calibri" w:cs="Calibri"/>
          <w:sz w:val="22"/>
          <w:szCs w:val="22"/>
          <w:lang w:val="en-US"/>
        </w:rPr>
      </w:pPr>
      <w:r w:rsidRPr="0071456B">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6</w:t>
      </w:r>
      <w:r>
        <w:rPr>
          <w:rFonts w:ascii="Calibri" w:eastAsia="Times New Roman" w:hAnsi="Calibri" w:cs="Calibri"/>
          <w:sz w:val="22"/>
          <w:szCs w:val="22"/>
          <w:lang w:val="en-US"/>
        </w:rPr>
        <w:t>: There is no need for gNB-</w:t>
      </w:r>
      <w:r w:rsidRPr="0071456B">
        <w:rPr>
          <w:rFonts w:ascii="Calibri" w:eastAsia="Times New Roman" w:hAnsi="Calibri" w:cs="Calibri"/>
          <w:sz w:val="22"/>
          <w:szCs w:val="22"/>
          <w:lang w:val="en-US"/>
        </w:rPr>
        <w:t xml:space="preserve">DU </w:t>
      </w:r>
      <w:r>
        <w:rPr>
          <w:rFonts w:ascii="Calibri" w:eastAsia="Times New Roman" w:hAnsi="Calibri" w:cs="Calibri"/>
          <w:sz w:val="22"/>
          <w:szCs w:val="22"/>
          <w:lang w:val="en-US"/>
        </w:rPr>
        <w:t xml:space="preserve">to </w:t>
      </w:r>
      <w:r w:rsidRPr="0071456B">
        <w:rPr>
          <w:rFonts w:ascii="Calibri" w:eastAsia="Times New Roman" w:hAnsi="Calibri" w:cs="Calibri"/>
          <w:sz w:val="22"/>
          <w:szCs w:val="22"/>
          <w:lang w:val="en-US"/>
        </w:rPr>
        <w:t>participate in assembling the RVQoE configuration</w:t>
      </w:r>
    </w:p>
    <w:p w14:paraId="35B44F73" w14:textId="77777777" w:rsidR="00D61C93" w:rsidRDefault="00D61C93" w:rsidP="0071456B">
      <w:pPr>
        <w:spacing w:after="0"/>
        <w:rPr>
          <w:rFonts w:ascii="Calibri" w:eastAsia="Times New Roman" w:hAnsi="Calibri" w:cs="Calibri"/>
          <w:b/>
          <w:bCs/>
          <w:sz w:val="22"/>
          <w:szCs w:val="22"/>
          <w:lang w:val="en-US"/>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4CDEA" w14:textId="77777777" w:rsidR="00CB591C" w:rsidRDefault="00CB591C" w:rsidP="006F5F92">
      <w:pPr>
        <w:spacing w:after="0"/>
      </w:pPr>
      <w:r>
        <w:separator/>
      </w:r>
    </w:p>
  </w:endnote>
  <w:endnote w:type="continuationSeparator" w:id="0">
    <w:p w14:paraId="17A14993" w14:textId="77777777" w:rsidR="00CB591C" w:rsidRDefault="00CB591C" w:rsidP="006F5F92">
      <w:pPr>
        <w:spacing w:after="0"/>
      </w:pPr>
      <w:r>
        <w:continuationSeparator/>
      </w:r>
    </w:p>
  </w:endnote>
  <w:endnote w:type="continuationNotice" w:id="1">
    <w:p w14:paraId="3822D310" w14:textId="77777777" w:rsidR="00CB591C" w:rsidRDefault="00CB59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3E833" w14:textId="77777777" w:rsidR="00CB591C" w:rsidRDefault="00CB591C" w:rsidP="006F5F92">
      <w:pPr>
        <w:spacing w:after="0"/>
      </w:pPr>
      <w:r>
        <w:separator/>
      </w:r>
    </w:p>
  </w:footnote>
  <w:footnote w:type="continuationSeparator" w:id="0">
    <w:p w14:paraId="5328C21B" w14:textId="77777777" w:rsidR="00CB591C" w:rsidRDefault="00CB591C" w:rsidP="006F5F92">
      <w:pPr>
        <w:spacing w:after="0"/>
      </w:pPr>
      <w:r>
        <w:continuationSeparator/>
      </w:r>
    </w:p>
  </w:footnote>
  <w:footnote w:type="continuationNotice" w:id="1">
    <w:p w14:paraId="139DC82D" w14:textId="77777777" w:rsidR="00CB591C" w:rsidRDefault="00CB59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755AB"/>
    <w:multiLevelType w:val="hybridMultilevel"/>
    <w:tmpl w:val="AAFAE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E75E99"/>
    <w:multiLevelType w:val="hybridMultilevel"/>
    <w:tmpl w:val="6FFA553E"/>
    <w:lvl w:ilvl="0" w:tplc="0409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C64639D"/>
    <w:multiLevelType w:val="hybridMultilevel"/>
    <w:tmpl w:val="A83C8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4C52AD0"/>
    <w:multiLevelType w:val="hybridMultilevel"/>
    <w:tmpl w:val="50565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3F1D7428"/>
    <w:multiLevelType w:val="hybridMultilevel"/>
    <w:tmpl w:val="76AC216A"/>
    <w:lvl w:ilvl="0" w:tplc="B03C5E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DE0646"/>
    <w:multiLevelType w:val="hybridMultilevel"/>
    <w:tmpl w:val="A558A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66F97"/>
    <w:multiLevelType w:val="hybridMultilevel"/>
    <w:tmpl w:val="4A6212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642C91"/>
    <w:multiLevelType w:val="hybridMultilevel"/>
    <w:tmpl w:val="6FFA553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7911618"/>
    <w:multiLevelType w:val="hybridMultilevel"/>
    <w:tmpl w:val="06E61B5A"/>
    <w:lvl w:ilvl="0" w:tplc="04090019">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BC049DD"/>
    <w:multiLevelType w:val="hybridMultilevel"/>
    <w:tmpl w:val="6FFA553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D9050B9"/>
    <w:multiLevelType w:val="hybridMultilevel"/>
    <w:tmpl w:val="2200B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8069541">
    <w:abstractNumId w:val="3"/>
  </w:num>
  <w:num w:numId="2" w16cid:durableId="526216132">
    <w:abstractNumId w:val="5"/>
  </w:num>
  <w:num w:numId="3" w16cid:durableId="1170632364">
    <w:abstractNumId w:val="10"/>
  </w:num>
  <w:num w:numId="4" w16cid:durableId="2012371821">
    <w:abstractNumId w:val="2"/>
  </w:num>
  <w:num w:numId="5" w16cid:durableId="1475373643">
    <w:abstractNumId w:val="12"/>
  </w:num>
  <w:num w:numId="6" w16cid:durableId="1327051001">
    <w:abstractNumId w:val="0"/>
  </w:num>
  <w:num w:numId="7" w16cid:durableId="183591514">
    <w:abstractNumId w:val="6"/>
  </w:num>
  <w:num w:numId="8" w16cid:durableId="1208569564">
    <w:abstractNumId w:val="8"/>
  </w:num>
  <w:num w:numId="9" w16cid:durableId="1532036036">
    <w:abstractNumId w:val="1"/>
  </w:num>
  <w:num w:numId="10" w16cid:durableId="350306222">
    <w:abstractNumId w:val="7"/>
  </w:num>
  <w:num w:numId="11" w16cid:durableId="995450533">
    <w:abstractNumId w:val="4"/>
  </w:num>
  <w:num w:numId="12" w16cid:durableId="1875579179">
    <w:abstractNumId w:val="11"/>
  </w:num>
  <w:num w:numId="13" w16cid:durableId="68383607">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7754"/>
    <w:rsid w:val="00007EA4"/>
    <w:rsid w:val="00013035"/>
    <w:rsid w:val="00016213"/>
    <w:rsid w:val="00016648"/>
    <w:rsid w:val="00016923"/>
    <w:rsid w:val="00016A85"/>
    <w:rsid w:val="0001736B"/>
    <w:rsid w:val="00017988"/>
    <w:rsid w:val="0002287F"/>
    <w:rsid w:val="0002370E"/>
    <w:rsid w:val="00026785"/>
    <w:rsid w:val="00026B82"/>
    <w:rsid w:val="000302BA"/>
    <w:rsid w:val="00030365"/>
    <w:rsid w:val="000314CD"/>
    <w:rsid w:val="00034567"/>
    <w:rsid w:val="00034905"/>
    <w:rsid w:val="00034A57"/>
    <w:rsid w:val="0003513D"/>
    <w:rsid w:val="0003594C"/>
    <w:rsid w:val="00035E0A"/>
    <w:rsid w:val="000368B1"/>
    <w:rsid w:val="000404E6"/>
    <w:rsid w:val="00040F58"/>
    <w:rsid w:val="00041B0F"/>
    <w:rsid w:val="00041CB6"/>
    <w:rsid w:val="000426F6"/>
    <w:rsid w:val="00044304"/>
    <w:rsid w:val="0004688A"/>
    <w:rsid w:val="00047C16"/>
    <w:rsid w:val="00047C65"/>
    <w:rsid w:val="00047D10"/>
    <w:rsid w:val="00047F91"/>
    <w:rsid w:val="000514C3"/>
    <w:rsid w:val="00052325"/>
    <w:rsid w:val="00054F3B"/>
    <w:rsid w:val="00055F3D"/>
    <w:rsid w:val="00056596"/>
    <w:rsid w:val="00056C6A"/>
    <w:rsid w:val="000576E8"/>
    <w:rsid w:val="0006191A"/>
    <w:rsid w:val="00062827"/>
    <w:rsid w:val="00064AF0"/>
    <w:rsid w:val="0006742B"/>
    <w:rsid w:val="0007024D"/>
    <w:rsid w:val="00072D1E"/>
    <w:rsid w:val="00072E7C"/>
    <w:rsid w:val="00074992"/>
    <w:rsid w:val="00080B74"/>
    <w:rsid w:val="000814AC"/>
    <w:rsid w:val="000817E7"/>
    <w:rsid w:val="000846C9"/>
    <w:rsid w:val="00084A2E"/>
    <w:rsid w:val="00085880"/>
    <w:rsid w:val="000873D2"/>
    <w:rsid w:val="00090187"/>
    <w:rsid w:val="00090788"/>
    <w:rsid w:val="0009270B"/>
    <w:rsid w:val="00093D3C"/>
    <w:rsid w:val="00095A14"/>
    <w:rsid w:val="000962E4"/>
    <w:rsid w:val="0009658D"/>
    <w:rsid w:val="00096A23"/>
    <w:rsid w:val="00096B82"/>
    <w:rsid w:val="0009716B"/>
    <w:rsid w:val="000971D5"/>
    <w:rsid w:val="00097203"/>
    <w:rsid w:val="00097864"/>
    <w:rsid w:val="000A0616"/>
    <w:rsid w:val="000A36F5"/>
    <w:rsid w:val="000A43CA"/>
    <w:rsid w:val="000A4892"/>
    <w:rsid w:val="000A48CD"/>
    <w:rsid w:val="000A6FE8"/>
    <w:rsid w:val="000A7D3D"/>
    <w:rsid w:val="000B0070"/>
    <w:rsid w:val="000B0EE4"/>
    <w:rsid w:val="000B182D"/>
    <w:rsid w:val="000B19D7"/>
    <w:rsid w:val="000B31A9"/>
    <w:rsid w:val="000B65EC"/>
    <w:rsid w:val="000B6ABC"/>
    <w:rsid w:val="000C090F"/>
    <w:rsid w:val="000C104B"/>
    <w:rsid w:val="000C2243"/>
    <w:rsid w:val="000C5145"/>
    <w:rsid w:val="000C63AC"/>
    <w:rsid w:val="000C6678"/>
    <w:rsid w:val="000C677A"/>
    <w:rsid w:val="000C691F"/>
    <w:rsid w:val="000C7958"/>
    <w:rsid w:val="000D0978"/>
    <w:rsid w:val="000D152B"/>
    <w:rsid w:val="000D212C"/>
    <w:rsid w:val="000D2327"/>
    <w:rsid w:val="000D2ED5"/>
    <w:rsid w:val="000D36A0"/>
    <w:rsid w:val="000D4CD8"/>
    <w:rsid w:val="000D5865"/>
    <w:rsid w:val="000D5BC9"/>
    <w:rsid w:val="000D5DD0"/>
    <w:rsid w:val="000D5F38"/>
    <w:rsid w:val="000D6FA2"/>
    <w:rsid w:val="000D70FA"/>
    <w:rsid w:val="000E0D53"/>
    <w:rsid w:val="000E1826"/>
    <w:rsid w:val="000E191F"/>
    <w:rsid w:val="000E1BBE"/>
    <w:rsid w:val="000E1F07"/>
    <w:rsid w:val="000E2563"/>
    <w:rsid w:val="000E3E5A"/>
    <w:rsid w:val="000E56C4"/>
    <w:rsid w:val="000E57E3"/>
    <w:rsid w:val="000E59F2"/>
    <w:rsid w:val="000E72AF"/>
    <w:rsid w:val="000E7556"/>
    <w:rsid w:val="000F0380"/>
    <w:rsid w:val="000F0BDE"/>
    <w:rsid w:val="000F5110"/>
    <w:rsid w:val="000F53D7"/>
    <w:rsid w:val="000F6012"/>
    <w:rsid w:val="000F659B"/>
    <w:rsid w:val="001007D9"/>
    <w:rsid w:val="00101C18"/>
    <w:rsid w:val="00102421"/>
    <w:rsid w:val="00102A61"/>
    <w:rsid w:val="00103EDF"/>
    <w:rsid w:val="0010605B"/>
    <w:rsid w:val="00107098"/>
    <w:rsid w:val="001077AD"/>
    <w:rsid w:val="00107CF4"/>
    <w:rsid w:val="0011126F"/>
    <w:rsid w:val="00111581"/>
    <w:rsid w:val="00111F23"/>
    <w:rsid w:val="00112011"/>
    <w:rsid w:val="001141F2"/>
    <w:rsid w:val="00114A8A"/>
    <w:rsid w:val="001167BA"/>
    <w:rsid w:val="00117133"/>
    <w:rsid w:val="001226A1"/>
    <w:rsid w:val="001254E9"/>
    <w:rsid w:val="00127774"/>
    <w:rsid w:val="001303DE"/>
    <w:rsid w:val="00131D34"/>
    <w:rsid w:val="00132490"/>
    <w:rsid w:val="00132FF0"/>
    <w:rsid w:val="0013354F"/>
    <w:rsid w:val="00133DF4"/>
    <w:rsid w:val="001343D7"/>
    <w:rsid w:val="00141072"/>
    <w:rsid w:val="001416AE"/>
    <w:rsid w:val="00145A92"/>
    <w:rsid w:val="001471EE"/>
    <w:rsid w:val="00147E16"/>
    <w:rsid w:val="001508B5"/>
    <w:rsid w:val="0015162F"/>
    <w:rsid w:val="00152363"/>
    <w:rsid w:val="001526C3"/>
    <w:rsid w:val="00153692"/>
    <w:rsid w:val="001537E2"/>
    <w:rsid w:val="00153869"/>
    <w:rsid w:val="00154A12"/>
    <w:rsid w:val="0015586A"/>
    <w:rsid w:val="00155F97"/>
    <w:rsid w:val="00156742"/>
    <w:rsid w:val="00156A7C"/>
    <w:rsid w:val="00156CDF"/>
    <w:rsid w:val="00157B02"/>
    <w:rsid w:val="00160956"/>
    <w:rsid w:val="00161867"/>
    <w:rsid w:val="00161D19"/>
    <w:rsid w:val="00161E16"/>
    <w:rsid w:val="00162027"/>
    <w:rsid w:val="00163EB2"/>
    <w:rsid w:val="001640BE"/>
    <w:rsid w:val="00164489"/>
    <w:rsid w:val="00164C8C"/>
    <w:rsid w:val="00165409"/>
    <w:rsid w:val="001677DF"/>
    <w:rsid w:val="00170D43"/>
    <w:rsid w:val="00172310"/>
    <w:rsid w:val="00173416"/>
    <w:rsid w:val="0017483C"/>
    <w:rsid w:val="00174DCD"/>
    <w:rsid w:val="0017533D"/>
    <w:rsid w:val="00175C25"/>
    <w:rsid w:val="0017635F"/>
    <w:rsid w:val="00177D6D"/>
    <w:rsid w:val="00180147"/>
    <w:rsid w:val="00180B0D"/>
    <w:rsid w:val="00180F65"/>
    <w:rsid w:val="001811F9"/>
    <w:rsid w:val="00181D15"/>
    <w:rsid w:val="001825CB"/>
    <w:rsid w:val="00184067"/>
    <w:rsid w:val="001845CC"/>
    <w:rsid w:val="001854D4"/>
    <w:rsid w:val="00185DC9"/>
    <w:rsid w:val="00187641"/>
    <w:rsid w:val="0018766D"/>
    <w:rsid w:val="00187CD5"/>
    <w:rsid w:val="00191E06"/>
    <w:rsid w:val="00192885"/>
    <w:rsid w:val="001928E8"/>
    <w:rsid w:val="00192AF4"/>
    <w:rsid w:val="001935AF"/>
    <w:rsid w:val="00193A58"/>
    <w:rsid w:val="0019451A"/>
    <w:rsid w:val="001956A5"/>
    <w:rsid w:val="00195761"/>
    <w:rsid w:val="001976E5"/>
    <w:rsid w:val="001A0126"/>
    <w:rsid w:val="001A030F"/>
    <w:rsid w:val="001A0BD4"/>
    <w:rsid w:val="001A1ED2"/>
    <w:rsid w:val="001A4B6B"/>
    <w:rsid w:val="001A6B88"/>
    <w:rsid w:val="001A7D04"/>
    <w:rsid w:val="001A7FAA"/>
    <w:rsid w:val="001B105A"/>
    <w:rsid w:val="001B171A"/>
    <w:rsid w:val="001B2771"/>
    <w:rsid w:val="001B30ED"/>
    <w:rsid w:val="001B5B8E"/>
    <w:rsid w:val="001B795A"/>
    <w:rsid w:val="001C02EB"/>
    <w:rsid w:val="001C2BC1"/>
    <w:rsid w:val="001C3A5F"/>
    <w:rsid w:val="001C43F2"/>
    <w:rsid w:val="001C4EB0"/>
    <w:rsid w:val="001C54DA"/>
    <w:rsid w:val="001C5887"/>
    <w:rsid w:val="001C6CDD"/>
    <w:rsid w:val="001C75FF"/>
    <w:rsid w:val="001C78D6"/>
    <w:rsid w:val="001D19A8"/>
    <w:rsid w:val="001D2629"/>
    <w:rsid w:val="001D2A48"/>
    <w:rsid w:val="001D3C3F"/>
    <w:rsid w:val="001D424C"/>
    <w:rsid w:val="001D4284"/>
    <w:rsid w:val="001D5280"/>
    <w:rsid w:val="001D5CD8"/>
    <w:rsid w:val="001D6C3B"/>
    <w:rsid w:val="001E00E9"/>
    <w:rsid w:val="001E0249"/>
    <w:rsid w:val="001E35D1"/>
    <w:rsid w:val="001E5FF2"/>
    <w:rsid w:val="001E6218"/>
    <w:rsid w:val="001E715B"/>
    <w:rsid w:val="001E7166"/>
    <w:rsid w:val="001F1928"/>
    <w:rsid w:val="001F46BF"/>
    <w:rsid w:val="001F4ADF"/>
    <w:rsid w:val="001F66E5"/>
    <w:rsid w:val="001F7D34"/>
    <w:rsid w:val="00201573"/>
    <w:rsid w:val="00203618"/>
    <w:rsid w:val="00204DFB"/>
    <w:rsid w:val="0020653D"/>
    <w:rsid w:val="002104DA"/>
    <w:rsid w:val="00210BA4"/>
    <w:rsid w:val="00211388"/>
    <w:rsid w:val="00213317"/>
    <w:rsid w:val="002134B7"/>
    <w:rsid w:val="00213E6A"/>
    <w:rsid w:val="002145E1"/>
    <w:rsid w:val="00215980"/>
    <w:rsid w:val="00216D54"/>
    <w:rsid w:val="00217ADF"/>
    <w:rsid w:val="00222D2E"/>
    <w:rsid w:val="0022431D"/>
    <w:rsid w:val="00230735"/>
    <w:rsid w:val="00231CC8"/>
    <w:rsid w:val="00231D28"/>
    <w:rsid w:val="0023219D"/>
    <w:rsid w:val="0023239E"/>
    <w:rsid w:val="00232AAF"/>
    <w:rsid w:val="00232F8F"/>
    <w:rsid w:val="00233FA5"/>
    <w:rsid w:val="002407C7"/>
    <w:rsid w:val="00240B90"/>
    <w:rsid w:val="00241065"/>
    <w:rsid w:val="00241403"/>
    <w:rsid w:val="00242318"/>
    <w:rsid w:val="00242E4E"/>
    <w:rsid w:val="002440C4"/>
    <w:rsid w:val="002450B2"/>
    <w:rsid w:val="00245744"/>
    <w:rsid w:val="00246B28"/>
    <w:rsid w:val="002505C2"/>
    <w:rsid w:val="002521C7"/>
    <w:rsid w:val="002522FB"/>
    <w:rsid w:val="00253749"/>
    <w:rsid w:val="00253A41"/>
    <w:rsid w:val="0025496F"/>
    <w:rsid w:val="002551DB"/>
    <w:rsid w:val="0025623B"/>
    <w:rsid w:val="00256986"/>
    <w:rsid w:val="002569D4"/>
    <w:rsid w:val="0025700F"/>
    <w:rsid w:val="00257BE9"/>
    <w:rsid w:val="00261BB1"/>
    <w:rsid w:val="00261E7B"/>
    <w:rsid w:val="0026240D"/>
    <w:rsid w:val="00262D46"/>
    <w:rsid w:val="002633FB"/>
    <w:rsid w:val="00265385"/>
    <w:rsid w:val="002661AB"/>
    <w:rsid w:val="00271F96"/>
    <w:rsid w:val="002747DF"/>
    <w:rsid w:val="002772F9"/>
    <w:rsid w:val="00277D70"/>
    <w:rsid w:val="00280C47"/>
    <w:rsid w:val="00281CD3"/>
    <w:rsid w:val="002828DB"/>
    <w:rsid w:val="00282B9B"/>
    <w:rsid w:val="0028329E"/>
    <w:rsid w:val="00283463"/>
    <w:rsid w:val="00283531"/>
    <w:rsid w:val="0028447E"/>
    <w:rsid w:val="0028470D"/>
    <w:rsid w:val="00284FC6"/>
    <w:rsid w:val="00294577"/>
    <w:rsid w:val="00294640"/>
    <w:rsid w:val="002948B6"/>
    <w:rsid w:val="00295A5F"/>
    <w:rsid w:val="002977D8"/>
    <w:rsid w:val="002A0123"/>
    <w:rsid w:val="002A3074"/>
    <w:rsid w:val="002A3291"/>
    <w:rsid w:val="002A4383"/>
    <w:rsid w:val="002A4B43"/>
    <w:rsid w:val="002A594C"/>
    <w:rsid w:val="002A5A6F"/>
    <w:rsid w:val="002A5F0F"/>
    <w:rsid w:val="002B0A40"/>
    <w:rsid w:val="002B4718"/>
    <w:rsid w:val="002B54AD"/>
    <w:rsid w:val="002B5578"/>
    <w:rsid w:val="002B650E"/>
    <w:rsid w:val="002B673C"/>
    <w:rsid w:val="002B6E9A"/>
    <w:rsid w:val="002C22D3"/>
    <w:rsid w:val="002C3EF2"/>
    <w:rsid w:val="002C43BE"/>
    <w:rsid w:val="002C43E9"/>
    <w:rsid w:val="002C5B17"/>
    <w:rsid w:val="002C71AB"/>
    <w:rsid w:val="002C756B"/>
    <w:rsid w:val="002C7DB3"/>
    <w:rsid w:val="002D29DA"/>
    <w:rsid w:val="002D2A68"/>
    <w:rsid w:val="002D3675"/>
    <w:rsid w:val="002D4FE3"/>
    <w:rsid w:val="002D5154"/>
    <w:rsid w:val="002D6718"/>
    <w:rsid w:val="002D6BF9"/>
    <w:rsid w:val="002D6DD7"/>
    <w:rsid w:val="002E079E"/>
    <w:rsid w:val="002E1ABB"/>
    <w:rsid w:val="002E252A"/>
    <w:rsid w:val="002E2AD6"/>
    <w:rsid w:val="002E378E"/>
    <w:rsid w:val="002E3F76"/>
    <w:rsid w:val="002E534F"/>
    <w:rsid w:val="002E5AB9"/>
    <w:rsid w:val="002E6707"/>
    <w:rsid w:val="002F08BD"/>
    <w:rsid w:val="002F0E20"/>
    <w:rsid w:val="002F3C84"/>
    <w:rsid w:val="002F552A"/>
    <w:rsid w:val="002F5FA7"/>
    <w:rsid w:val="002F61E6"/>
    <w:rsid w:val="003001DF"/>
    <w:rsid w:val="00300280"/>
    <w:rsid w:val="00300A13"/>
    <w:rsid w:val="00306152"/>
    <w:rsid w:val="00306829"/>
    <w:rsid w:val="0030737E"/>
    <w:rsid w:val="00312511"/>
    <w:rsid w:val="0031356E"/>
    <w:rsid w:val="00314952"/>
    <w:rsid w:val="00315786"/>
    <w:rsid w:val="00315D42"/>
    <w:rsid w:val="003164D7"/>
    <w:rsid w:val="003167F4"/>
    <w:rsid w:val="00316B43"/>
    <w:rsid w:val="003201F3"/>
    <w:rsid w:val="003206A9"/>
    <w:rsid w:val="00320C3A"/>
    <w:rsid w:val="00321302"/>
    <w:rsid w:val="003225BF"/>
    <w:rsid w:val="003235EF"/>
    <w:rsid w:val="0032635E"/>
    <w:rsid w:val="003266CE"/>
    <w:rsid w:val="003267CB"/>
    <w:rsid w:val="00326BDA"/>
    <w:rsid w:val="00326BF4"/>
    <w:rsid w:val="00326FE5"/>
    <w:rsid w:val="00331A8B"/>
    <w:rsid w:val="00332392"/>
    <w:rsid w:val="00332BD3"/>
    <w:rsid w:val="00332FC9"/>
    <w:rsid w:val="003330D4"/>
    <w:rsid w:val="003341C8"/>
    <w:rsid w:val="0033517C"/>
    <w:rsid w:val="00337286"/>
    <w:rsid w:val="0034324E"/>
    <w:rsid w:val="0034415B"/>
    <w:rsid w:val="00344304"/>
    <w:rsid w:val="0034638E"/>
    <w:rsid w:val="003479C3"/>
    <w:rsid w:val="00350D3A"/>
    <w:rsid w:val="00351859"/>
    <w:rsid w:val="00351CFC"/>
    <w:rsid w:val="00352961"/>
    <w:rsid w:val="00352C3E"/>
    <w:rsid w:val="003534EF"/>
    <w:rsid w:val="0035496B"/>
    <w:rsid w:val="00354980"/>
    <w:rsid w:val="00357544"/>
    <w:rsid w:val="003606A7"/>
    <w:rsid w:val="00361A69"/>
    <w:rsid w:val="003622F6"/>
    <w:rsid w:val="00362BC3"/>
    <w:rsid w:val="00364AA4"/>
    <w:rsid w:val="003658AF"/>
    <w:rsid w:val="003672EC"/>
    <w:rsid w:val="0036790A"/>
    <w:rsid w:val="00370C72"/>
    <w:rsid w:val="00371ECD"/>
    <w:rsid w:val="00373C9E"/>
    <w:rsid w:val="00374C7D"/>
    <w:rsid w:val="00375C4A"/>
    <w:rsid w:val="00376955"/>
    <w:rsid w:val="003777BB"/>
    <w:rsid w:val="0038097F"/>
    <w:rsid w:val="00380FB2"/>
    <w:rsid w:val="00381A5B"/>
    <w:rsid w:val="003824B1"/>
    <w:rsid w:val="00382B25"/>
    <w:rsid w:val="0038347C"/>
    <w:rsid w:val="00383948"/>
    <w:rsid w:val="003839F7"/>
    <w:rsid w:val="003844FC"/>
    <w:rsid w:val="00384A30"/>
    <w:rsid w:val="003856EC"/>
    <w:rsid w:val="003857C1"/>
    <w:rsid w:val="00390703"/>
    <w:rsid w:val="003918A3"/>
    <w:rsid w:val="003925A3"/>
    <w:rsid w:val="00395165"/>
    <w:rsid w:val="003A02A4"/>
    <w:rsid w:val="003A046D"/>
    <w:rsid w:val="003A0C20"/>
    <w:rsid w:val="003A13B6"/>
    <w:rsid w:val="003A1D75"/>
    <w:rsid w:val="003A1D89"/>
    <w:rsid w:val="003A27FD"/>
    <w:rsid w:val="003A2CC4"/>
    <w:rsid w:val="003A2ED2"/>
    <w:rsid w:val="003A4189"/>
    <w:rsid w:val="003A50F8"/>
    <w:rsid w:val="003A63B7"/>
    <w:rsid w:val="003A64DA"/>
    <w:rsid w:val="003A7902"/>
    <w:rsid w:val="003B059B"/>
    <w:rsid w:val="003B0AEC"/>
    <w:rsid w:val="003B19ED"/>
    <w:rsid w:val="003B2127"/>
    <w:rsid w:val="003B249A"/>
    <w:rsid w:val="003B332F"/>
    <w:rsid w:val="003B40FE"/>
    <w:rsid w:val="003B616E"/>
    <w:rsid w:val="003C09AE"/>
    <w:rsid w:val="003C1B86"/>
    <w:rsid w:val="003C202B"/>
    <w:rsid w:val="003C2713"/>
    <w:rsid w:val="003C2FEE"/>
    <w:rsid w:val="003C34A8"/>
    <w:rsid w:val="003C4CDF"/>
    <w:rsid w:val="003C57C7"/>
    <w:rsid w:val="003C58E3"/>
    <w:rsid w:val="003C5CE2"/>
    <w:rsid w:val="003C5FA5"/>
    <w:rsid w:val="003C71AA"/>
    <w:rsid w:val="003C7E90"/>
    <w:rsid w:val="003D2358"/>
    <w:rsid w:val="003D2B66"/>
    <w:rsid w:val="003D2C7B"/>
    <w:rsid w:val="003D39CC"/>
    <w:rsid w:val="003D4C12"/>
    <w:rsid w:val="003D56B8"/>
    <w:rsid w:val="003D69B1"/>
    <w:rsid w:val="003E1511"/>
    <w:rsid w:val="003E3201"/>
    <w:rsid w:val="003E3500"/>
    <w:rsid w:val="003E3AA7"/>
    <w:rsid w:val="003E3B40"/>
    <w:rsid w:val="003E4E0C"/>
    <w:rsid w:val="003E6FF1"/>
    <w:rsid w:val="003F0053"/>
    <w:rsid w:val="003F0FE2"/>
    <w:rsid w:val="003F2CB0"/>
    <w:rsid w:val="003F2FCA"/>
    <w:rsid w:val="003F3059"/>
    <w:rsid w:val="003F322C"/>
    <w:rsid w:val="003F7148"/>
    <w:rsid w:val="003F75EF"/>
    <w:rsid w:val="003F7D1B"/>
    <w:rsid w:val="0040120E"/>
    <w:rsid w:val="004029C8"/>
    <w:rsid w:val="00404C07"/>
    <w:rsid w:val="00405345"/>
    <w:rsid w:val="00413738"/>
    <w:rsid w:val="00414E56"/>
    <w:rsid w:val="00415061"/>
    <w:rsid w:val="0041561A"/>
    <w:rsid w:val="004163B5"/>
    <w:rsid w:val="00417A6A"/>
    <w:rsid w:val="004220C3"/>
    <w:rsid w:val="0042277C"/>
    <w:rsid w:val="00422C08"/>
    <w:rsid w:val="00423920"/>
    <w:rsid w:val="00424B18"/>
    <w:rsid w:val="00424FA9"/>
    <w:rsid w:val="00425E71"/>
    <w:rsid w:val="004279FE"/>
    <w:rsid w:val="004308BD"/>
    <w:rsid w:val="004312D0"/>
    <w:rsid w:val="00432354"/>
    <w:rsid w:val="004327AB"/>
    <w:rsid w:val="00432FAC"/>
    <w:rsid w:val="00433327"/>
    <w:rsid w:val="00433497"/>
    <w:rsid w:val="00433E75"/>
    <w:rsid w:val="00435E68"/>
    <w:rsid w:val="0043755E"/>
    <w:rsid w:val="0044055A"/>
    <w:rsid w:val="0044351C"/>
    <w:rsid w:val="004449F2"/>
    <w:rsid w:val="00446CE7"/>
    <w:rsid w:val="00450FAE"/>
    <w:rsid w:val="00451C1B"/>
    <w:rsid w:val="00451F83"/>
    <w:rsid w:val="00452B5E"/>
    <w:rsid w:val="004558A2"/>
    <w:rsid w:val="00455F29"/>
    <w:rsid w:val="004563E5"/>
    <w:rsid w:val="00456C96"/>
    <w:rsid w:val="004574F3"/>
    <w:rsid w:val="0046171D"/>
    <w:rsid w:val="00465457"/>
    <w:rsid w:val="0046588B"/>
    <w:rsid w:val="00466B6C"/>
    <w:rsid w:val="004709D4"/>
    <w:rsid w:val="004732FF"/>
    <w:rsid w:val="00473FA7"/>
    <w:rsid w:val="0047438E"/>
    <w:rsid w:val="0047504F"/>
    <w:rsid w:val="00475C7E"/>
    <w:rsid w:val="004767E7"/>
    <w:rsid w:val="00477F9F"/>
    <w:rsid w:val="004814FF"/>
    <w:rsid w:val="00481932"/>
    <w:rsid w:val="00483593"/>
    <w:rsid w:val="0048398B"/>
    <w:rsid w:val="00483BA7"/>
    <w:rsid w:val="00485D69"/>
    <w:rsid w:val="00486DBA"/>
    <w:rsid w:val="00487614"/>
    <w:rsid w:val="004934A7"/>
    <w:rsid w:val="0049376F"/>
    <w:rsid w:val="00493946"/>
    <w:rsid w:val="00494443"/>
    <w:rsid w:val="00496CBA"/>
    <w:rsid w:val="004978AE"/>
    <w:rsid w:val="00497C48"/>
    <w:rsid w:val="004A0B9E"/>
    <w:rsid w:val="004A4590"/>
    <w:rsid w:val="004A474C"/>
    <w:rsid w:val="004A5686"/>
    <w:rsid w:val="004A5F15"/>
    <w:rsid w:val="004A64CE"/>
    <w:rsid w:val="004A6EDE"/>
    <w:rsid w:val="004A789E"/>
    <w:rsid w:val="004B1AD2"/>
    <w:rsid w:val="004B2A9F"/>
    <w:rsid w:val="004B4B19"/>
    <w:rsid w:val="004B7216"/>
    <w:rsid w:val="004C02EB"/>
    <w:rsid w:val="004C48BF"/>
    <w:rsid w:val="004C64BF"/>
    <w:rsid w:val="004C6FA9"/>
    <w:rsid w:val="004D045F"/>
    <w:rsid w:val="004D1580"/>
    <w:rsid w:val="004D3093"/>
    <w:rsid w:val="004D3C81"/>
    <w:rsid w:val="004D3F89"/>
    <w:rsid w:val="004D5E38"/>
    <w:rsid w:val="004D611A"/>
    <w:rsid w:val="004D6F97"/>
    <w:rsid w:val="004D7A21"/>
    <w:rsid w:val="004E2098"/>
    <w:rsid w:val="004E3BF9"/>
    <w:rsid w:val="004E3C32"/>
    <w:rsid w:val="004E64AF"/>
    <w:rsid w:val="004E7DB6"/>
    <w:rsid w:val="004F13E3"/>
    <w:rsid w:val="004F3F88"/>
    <w:rsid w:val="004F5083"/>
    <w:rsid w:val="004F5179"/>
    <w:rsid w:val="004F564B"/>
    <w:rsid w:val="004F7718"/>
    <w:rsid w:val="004F7E06"/>
    <w:rsid w:val="00501BCE"/>
    <w:rsid w:val="005042BC"/>
    <w:rsid w:val="0050586F"/>
    <w:rsid w:val="00506560"/>
    <w:rsid w:val="00506D4A"/>
    <w:rsid w:val="00507E07"/>
    <w:rsid w:val="005103A8"/>
    <w:rsid w:val="005103BF"/>
    <w:rsid w:val="00510826"/>
    <w:rsid w:val="00513003"/>
    <w:rsid w:val="00514087"/>
    <w:rsid w:val="00514900"/>
    <w:rsid w:val="00514E61"/>
    <w:rsid w:val="00515513"/>
    <w:rsid w:val="0051616E"/>
    <w:rsid w:val="0051767B"/>
    <w:rsid w:val="00517EC9"/>
    <w:rsid w:val="00520274"/>
    <w:rsid w:val="00521278"/>
    <w:rsid w:val="005213F4"/>
    <w:rsid w:val="00522EF6"/>
    <w:rsid w:val="0052366D"/>
    <w:rsid w:val="00527993"/>
    <w:rsid w:val="00530927"/>
    <w:rsid w:val="0053162F"/>
    <w:rsid w:val="00534B18"/>
    <w:rsid w:val="00534ED0"/>
    <w:rsid w:val="00537659"/>
    <w:rsid w:val="00537971"/>
    <w:rsid w:val="00540178"/>
    <w:rsid w:val="00540772"/>
    <w:rsid w:val="00541B65"/>
    <w:rsid w:val="00543AC1"/>
    <w:rsid w:val="0054737C"/>
    <w:rsid w:val="005503AF"/>
    <w:rsid w:val="00552431"/>
    <w:rsid w:val="00552BB7"/>
    <w:rsid w:val="005535E5"/>
    <w:rsid w:val="005541F9"/>
    <w:rsid w:val="005552F5"/>
    <w:rsid w:val="00555822"/>
    <w:rsid w:val="00555E0D"/>
    <w:rsid w:val="00560AB8"/>
    <w:rsid w:val="00561066"/>
    <w:rsid w:val="00561A12"/>
    <w:rsid w:val="00561F60"/>
    <w:rsid w:val="00563CB0"/>
    <w:rsid w:val="00564640"/>
    <w:rsid w:val="00565BAA"/>
    <w:rsid w:val="00565F20"/>
    <w:rsid w:val="00566367"/>
    <w:rsid w:val="00570898"/>
    <w:rsid w:val="005713FD"/>
    <w:rsid w:val="00571890"/>
    <w:rsid w:val="00572827"/>
    <w:rsid w:val="005753DF"/>
    <w:rsid w:val="00576AFE"/>
    <w:rsid w:val="00576BB1"/>
    <w:rsid w:val="00576C07"/>
    <w:rsid w:val="00577803"/>
    <w:rsid w:val="00577C16"/>
    <w:rsid w:val="005809D8"/>
    <w:rsid w:val="00580BCA"/>
    <w:rsid w:val="00583504"/>
    <w:rsid w:val="00584295"/>
    <w:rsid w:val="005849B9"/>
    <w:rsid w:val="00585A07"/>
    <w:rsid w:val="00585CF8"/>
    <w:rsid w:val="00586D52"/>
    <w:rsid w:val="00591041"/>
    <w:rsid w:val="00593A27"/>
    <w:rsid w:val="00594C3B"/>
    <w:rsid w:val="00594CC1"/>
    <w:rsid w:val="005957AD"/>
    <w:rsid w:val="005963BF"/>
    <w:rsid w:val="00597087"/>
    <w:rsid w:val="005A023E"/>
    <w:rsid w:val="005A12A6"/>
    <w:rsid w:val="005A1397"/>
    <w:rsid w:val="005A47DA"/>
    <w:rsid w:val="005A6256"/>
    <w:rsid w:val="005B0751"/>
    <w:rsid w:val="005B0A93"/>
    <w:rsid w:val="005B1269"/>
    <w:rsid w:val="005B210A"/>
    <w:rsid w:val="005B2D6F"/>
    <w:rsid w:val="005B53AC"/>
    <w:rsid w:val="005B6386"/>
    <w:rsid w:val="005B7FB7"/>
    <w:rsid w:val="005C0B71"/>
    <w:rsid w:val="005C136B"/>
    <w:rsid w:val="005C2512"/>
    <w:rsid w:val="005C25CF"/>
    <w:rsid w:val="005C3CB3"/>
    <w:rsid w:val="005C40ED"/>
    <w:rsid w:val="005C6201"/>
    <w:rsid w:val="005C7188"/>
    <w:rsid w:val="005D1B31"/>
    <w:rsid w:val="005D2282"/>
    <w:rsid w:val="005D6E63"/>
    <w:rsid w:val="005E0E30"/>
    <w:rsid w:val="005E1FF2"/>
    <w:rsid w:val="005E2A79"/>
    <w:rsid w:val="005E3F3F"/>
    <w:rsid w:val="005E4355"/>
    <w:rsid w:val="005E4C95"/>
    <w:rsid w:val="005E5754"/>
    <w:rsid w:val="005E696F"/>
    <w:rsid w:val="005E69FA"/>
    <w:rsid w:val="005E6DE2"/>
    <w:rsid w:val="005F04C8"/>
    <w:rsid w:val="005F089D"/>
    <w:rsid w:val="005F0CF4"/>
    <w:rsid w:val="005F2720"/>
    <w:rsid w:val="005F278C"/>
    <w:rsid w:val="005F2ACB"/>
    <w:rsid w:val="005F33C2"/>
    <w:rsid w:val="005F351B"/>
    <w:rsid w:val="005F4A1A"/>
    <w:rsid w:val="005F4EB6"/>
    <w:rsid w:val="005F53A6"/>
    <w:rsid w:val="005F5E4E"/>
    <w:rsid w:val="005F7148"/>
    <w:rsid w:val="005F75E5"/>
    <w:rsid w:val="006006E2"/>
    <w:rsid w:val="00600ACC"/>
    <w:rsid w:val="0060285F"/>
    <w:rsid w:val="00602D92"/>
    <w:rsid w:val="0060397A"/>
    <w:rsid w:val="00603C02"/>
    <w:rsid w:val="00604081"/>
    <w:rsid w:val="00606C03"/>
    <w:rsid w:val="00606C0E"/>
    <w:rsid w:val="00607A5F"/>
    <w:rsid w:val="006100C8"/>
    <w:rsid w:val="00610E18"/>
    <w:rsid w:val="00611E06"/>
    <w:rsid w:val="00611E85"/>
    <w:rsid w:val="006121C2"/>
    <w:rsid w:val="00614FED"/>
    <w:rsid w:val="006225F3"/>
    <w:rsid w:val="00622AB5"/>
    <w:rsid w:val="00622AD2"/>
    <w:rsid w:val="006230C7"/>
    <w:rsid w:val="006236F5"/>
    <w:rsid w:val="00626CC8"/>
    <w:rsid w:val="00627C10"/>
    <w:rsid w:val="00630942"/>
    <w:rsid w:val="00631353"/>
    <w:rsid w:val="006323F0"/>
    <w:rsid w:val="00632A91"/>
    <w:rsid w:val="00634C09"/>
    <w:rsid w:val="006359B7"/>
    <w:rsid w:val="00637E3D"/>
    <w:rsid w:val="006402F7"/>
    <w:rsid w:val="0064286C"/>
    <w:rsid w:val="0064379B"/>
    <w:rsid w:val="00645114"/>
    <w:rsid w:val="006466C3"/>
    <w:rsid w:val="0064679C"/>
    <w:rsid w:val="006471D7"/>
    <w:rsid w:val="00647685"/>
    <w:rsid w:val="00651AC6"/>
    <w:rsid w:val="006533AB"/>
    <w:rsid w:val="006547B9"/>
    <w:rsid w:val="006558DA"/>
    <w:rsid w:val="00655C75"/>
    <w:rsid w:val="0066038A"/>
    <w:rsid w:val="006611EE"/>
    <w:rsid w:val="00662C0A"/>
    <w:rsid w:val="0066317D"/>
    <w:rsid w:val="00663251"/>
    <w:rsid w:val="00663BE0"/>
    <w:rsid w:val="00667A74"/>
    <w:rsid w:val="00672097"/>
    <w:rsid w:val="006729C9"/>
    <w:rsid w:val="00672C63"/>
    <w:rsid w:val="00674BB4"/>
    <w:rsid w:val="006757FA"/>
    <w:rsid w:val="00676631"/>
    <w:rsid w:val="0067775F"/>
    <w:rsid w:val="00680433"/>
    <w:rsid w:val="00683D5A"/>
    <w:rsid w:val="00684CA0"/>
    <w:rsid w:val="00685F51"/>
    <w:rsid w:val="006904CB"/>
    <w:rsid w:val="00691672"/>
    <w:rsid w:val="00692F2D"/>
    <w:rsid w:val="00693948"/>
    <w:rsid w:val="00693FD8"/>
    <w:rsid w:val="00695240"/>
    <w:rsid w:val="0069571D"/>
    <w:rsid w:val="006962D2"/>
    <w:rsid w:val="00696418"/>
    <w:rsid w:val="00697737"/>
    <w:rsid w:val="006A0413"/>
    <w:rsid w:val="006A0B87"/>
    <w:rsid w:val="006A2115"/>
    <w:rsid w:val="006A5D13"/>
    <w:rsid w:val="006B1262"/>
    <w:rsid w:val="006B2193"/>
    <w:rsid w:val="006B2C70"/>
    <w:rsid w:val="006B3E3D"/>
    <w:rsid w:val="006B4451"/>
    <w:rsid w:val="006B4B28"/>
    <w:rsid w:val="006B4E08"/>
    <w:rsid w:val="006B5048"/>
    <w:rsid w:val="006B651E"/>
    <w:rsid w:val="006B7023"/>
    <w:rsid w:val="006B7771"/>
    <w:rsid w:val="006C21BC"/>
    <w:rsid w:val="006C3C95"/>
    <w:rsid w:val="006C5BC0"/>
    <w:rsid w:val="006D2030"/>
    <w:rsid w:val="006D26AD"/>
    <w:rsid w:val="006D27FF"/>
    <w:rsid w:val="006D2E53"/>
    <w:rsid w:val="006D37B5"/>
    <w:rsid w:val="006D39A9"/>
    <w:rsid w:val="006D3FE9"/>
    <w:rsid w:val="006D620C"/>
    <w:rsid w:val="006D6B49"/>
    <w:rsid w:val="006E030F"/>
    <w:rsid w:val="006E4ADC"/>
    <w:rsid w:val="006E4EF1"/>
    <w:rsid w:val="006E57A0"/>
    <w:rsid w:val="006E57D9"/>
    <w:rsid w:val="006E5BAC"/>
    <w:rsid w:val="006E6540"/>
    <w:rsid w:val="006E6DEA"/>
    <w:rsid w:val="006F271F"/>
    <w:rsid w:val="006F2B7A"/>
    <w:rsid w:val="006F4270"/>
    <w:rsid w:val="006F472E"/>
    <w:rsid w:val="006F5D1A"/>
    <w:rsid w:val="006F5F92"/>
    <w:rsid w:val="006F66A0"/>
    <w:rsid w:val="00700F9D"/>
    <w:rsid w:val="007014C2"/>
    <w:rsid w:val="00702FFB"/>
    <w:rsid w:val="00703AE8"/>
    <w:rsid w:val="00704626"/>
    <w:rsid w:val="00706CFD"/>
    <w:rsid w:val="00706FF3"/>
    <w:rsid w:val="00707EB1"/>
    <w:rsid w:val="00711153"/>
    <w:rsid w:val="00712400"/>
    <w:rsid w:val="007125F6"/>
    <w:rsid w:val="00713D1B"/>
    <w:rsid w:val="00714010"/>
    <w:rsid w:val="0071456B"/>
    <w:rsid w:val="00714578"/>
    <w:rsid w:val="0071467B"/>
    <w:rsid w:val="00717E55"/>
    <w:rsid w:val="00721159"/>
    <w:rsid w:val="00721C4B"/>
    <w:rsid w:val="0072208B"/>
    <w:rsid w:val="00723468"/>
    <w:rsid w:val="0072411E"/>
    <w:rsid w:val="00725989"/>
    <w:rsid w:val="00726F88"/>
    <w:rsid w:val="007271B4"/>
    <w:rsid w:val="007319D4"/>
    <w:rsid w:val="00734A8E"/>
    <w:rsid w:val="00735324"/>
    <w:rsid w:val="00737250"/>
    <w:rsid w:val="00741AD0"/>
    <w:rsid w:val="0074360F"/>
    <w:rsid w:val="0074362F"/>
    <w:rsid w:val="0074378C"/>
    <w:rsid w:val="0074491D"/>
    <w:rsid w:val="00745C96"/>
    <w:rsid w:val="00746188"/>
    <w:rsid w:val="00746902"/>
    <w:rsid w:val="00746DEB"/>
    <w:rsid w:val="0074710C"/>
    <w:rsid w:val="00750D3B"/>
    <w:rsid w:val="007513DF"/>
    <w:rsid w:val="007523A2"/>
    <w:rsid w:val="00756DC2"/>
    <w:rsid w:val="007600D7"/>
    <w:rsid w:val="00762710"/>
    <w:rsid w:val="007642F8"/>
    <w:rsid w:val="00764A7B"/>
    <w:rsid w:val="00765A41"/>
    <w:rsid w:val="00767533"/>
    <w:rsid w:val="007677BD"/>
    <w:rsid w:val="007731F2"/>
    <w:rsid w:val="007735C3"/>
    <w:rsid w:val="0077432C"/>
    <w:rsid w:val="0077464E"/>
    <w:rsid w:val="007763C4"/>
    <w:rsid w:val="007776C8"/>
    <w:rsid w:val="0078231C"/>
    <w:rsid w:val="0078497A"/>
    <w:rsid w:val="00786006"/>
    <w:rsid w:val="007871BA"/>
    <w:rsid w:val="00790D9D"/>
    <w:rsid w:val="007937D8"/>
    <w:rsid w:val="007939A7"/>
    <w:rsid w:val="00793DDF"/>
    <w:rsid w:val="00794C7D"/>
    <w:rsid w:val="007950F1"/>
    <w:rsid w:val="00795405"/>
    <w:rsid w:val="00795C6E"/>
    <w:rsid w:val="007962ED"/>
    <w:rsid w:val="007A19BB"/>
    <w:rsid w:val="007A200E"/>
    <w:rsid w:val="007A33C9"/>
    <w:rsid w:val="007A545A"/>
    <w:rsid w:val="007A5488"/>
    <w:rsid w:val="007A6154"/>
    <w:rsid w:val="007A68FD"/>
    <w:rsid w:val="007A71CF"/>
    <w:rsid w:val="007A78CB"/>
    <w:rsid w:val="007B0982"/>
    <w:rsid w:val="007B0F0F"/>
    <w:rsid w:val="007B0F8C"/>
    <w:rsid w:val="007B21ED"/>
    <w:rsid w:val="007B2945"/>
    <w:rsid w:val="007B2EF4"/>
    <w:rsid w:val="007B394D"/>
    <w:rsid w:val="007B4725"/>
    <w:rsid w:val="007B5B92"/>
    <w:rsid w:val="007B65AA"/>
    <w:rsid w:val="007B6E58"/>
    <w:rsid w:val="007B7291"/>
    <w:rsid w:val="007C0B47"/>
    <w:rsid w:val="007C1FBB"/>
    <w:rsid w:val="007C2B4D"/>
    <w:rsid w:val="007C3884"/>
    <w:rsid w:val="007C4E33"/>
    <w:rsid w:val="007C5110"/>
    <w:rsid w:val="007C55EB"/>
    <w:rsid w:val="007C6222"/>
    <w:rsid w:val="007C6331"/>
    <w:rsid w:val="007D11F3"/>
    <w:rsid w:val="007D1846"/>
    <w:rsid w:val="007D481C"/>
    <w:rsid w:val="007D5B91"/>
    <w:rsid w:val="007D6E65"/>
    <w:rsid w:val="007D707D"/>
    <w:rsid w:val="007D765E"/>
    <w:rsid w:val="007E0201"/>
    <w:rsid w:val="007E037F"/>
    <w:rsid w:val="007E13EE"/>
    <w:rsid w:val="007E202E"/>
    <w:rsid w:val="007E2ABA"/>
    <w:rsid w:val="007E2BFF"/>
    <w:rsid w:val="007E3B00"/>
    <w:rsid w:val="007E5C90"/>
    <w:rsid w:val="007E6A65"/>
    <w:rsid w:val="007E6F73"/>
    <w:rsid w:val="007E7601"/>
    <w:rsid w:val="007F2099"/>
    <w:rsid w:val="007F2362"/>
    <w:rsid w:val="007F31BA"/>
    <w:rsid w:val="007F6365"/>
    <w:rsid w:val="007F729B"/>
    <w:rsid w:val="00802506"/>
    <w:rsid w:val="00802E0D"/>
    <w:rsid w:val="00805802"/>
    <w:rsid w:val="008059A9"/>
    <w:rsid w:val="008059C4"/>
    <w:rsid w:val="008061AC"/>
    <w:rsid w:val="008063AF"/>
    <w:rsid w:val="008067FB"/>
    <w:rsid w:val="00806EF0"/>
    <w:rsid w:val="008124FF"/>
    <w:rsid w:val="00812A00"/>
    <w:rsid w:val="00813939"/>
    <w:rsid w:val="008157E3"/>
    <w:rsid w:val="00815C96"/>
    <w:rsid w:val="00815F44"/>
    <w:rsid w:val="00816453"/>
    <w:rsid w:val="00817712"/>
    <w:rsid w:val="00821EC1"/>
    <w:rsid w:val="00822FFB"/>
    <w:rsid w:val="0082318F"/>
    <w:rsid w:val="0082667B"/>
    <w:rsid w:val="00826877"/>
    <w:rsid w:val="00827954"/>
    <w:rsid w:val="00827FA0"/>
    <w:rsid w:val="00830954"/>
    <w:rsid w:val="00832549"/>
    <w:rsid w:val="00833185"/>
    <w:rsid w:val="008367F8"/>
    <w:rsid w:val="00840181"/>
    <w:rsid w:val="00840813"/>
    <w:rsid w:val="00841E08"/>
    <w:rsid w:val="00843266"/>
    <w:rsid w:val="00843A9F"/>
    <w:rsid w:val="008445DF"/>
    <w:rsid w:val="00845CE4"/>
    <w:rsid w:val="00855416"/>
    <w:rsid w:val="008562A2"/>
    <w:rsid w:val="00864088"/>
    <w:rsid w:val="0086577B"/>
    <w:rsid w:val="00865C11"/>
    <w:rsid w:val="00871B5A"/>
    <w:rsid w:val="00872A90"/>
    <w:rsid w:val="008732E3"/>
    <w:rsid w:val="0087340E"/>
    <w:rsid w:val="00873D9C"/>
    <w:rsid w:val="008742BC"/>
    <w:rsid w:val="00876F0C"/>
    <w:rsid w:val="0087778C"/>
    <w:rsid w:val="0088035C"/>
    <w:rsid w:val="00881930"/>
    <w:rsid w:val="00882787"/>
    <w:rsid w:val="00882F94"/>
    <w:rsid w:val="008849C2"/>
    <w:rsid w:val="00884B5D"/>
    <w:rsid w:val="00887745"/>
    <w:rsid w:val="008879C6"/>
    <w:rsid w:val="00890F94"/>
    <w:rsid w:val="00891895"/>
    <w:rsid w:val="00891AED"/>
    <w:rsid w:val="00892221"/>
    <w:rsid w:val="00894E41"/>
    <w:rsid w:val="00895775"/>
    <w:rsid w:val="00896B0C"/>
    <w:rsid w:val="00896B9E"/>
    <w:rsid w:val="008974BD"/>
    <w:rsid w:val="008A1FA8"/>
    <w:rsid w:val="008A288F"/>
    <w:rsid w:val="008A2D96"/>
    <w:rsid w:val="008A30E8"/>
    <w:rsid w:val="008A4C39"/>
    <w:rsid w:val="008A4E2D"/>
    <w:rsid w:val="008A53C4"/>
    <w:rsid w:val="008A6026"/>
    <w:rsid w:val="008A7B06"/>
    <w:rsid w:val="008B20D7"/>
    <w:rsid w:val="008B24B7"/>
    <w:rsid w:val="008B4209"/>
    <w:rsid w:val="008B4218"/>
    <w:rsid w:val="008B4226"/>
    <w:rsid w:val="008B78CD"/>
    <w:rsid w:val="008B7CBD"/>
    <w:rsid w:val="008C0AE9"/>
    <w:rsid w:val="008C19B7"/>
    <w:rsid w:val="008C2A36"/>
    <w:rsid w:val="008C2E8F"/>
    <w:rsid w:val="008C30C8"/>
    <w:rsid w:val="008C3794"/>
    <w:rsid w:val="008C3F48"/>
    <w:rsid w:val="008C4247"/>
    <w:rsid w:val="008C49A3"/>
    <w:rsid w:val="008C5E53"/>
    <w:rsid w:val="008D1438"/>
    <w:rsid w:val="008D15AB"/>
    <w:rsid w:val="008D217C"/>
    <w:rsid w:val="008D2448"/>
    <w:rsid w:val="008D2BA4"/>
    <w:rsid w:val="008D2BC7"/>
    <w:rsid w:val="008D402C"/>
    <w:rsid w:val="008D42C4"/>
    <w:rsid w:val="008D44C8"/>
    <w:rsid w:val="008D4D31"/>
    <w:rsid w:val="008D515C"/>
    <w:rsid w:val="008D5921"/>
    <w:rsid w:val="008D7289"/>
    <w:rsid w:val="008D7809"/>
    <w:rsid w:val="008D7DD6"/>
    <w:rsid w:val="008E05AA"/>
    <w:rsid w:val="008E05E3"/>
    <w:rsid w:val="008E0DDF"/>
    <w:rsid w:val="008E1804"/>
    <w:rsid w:val="008E2012"/>
    <w:rsid w:val="008E39E3"/>
    <w:rsid w:val="008E3DAE"/>
    <w:rsid w:val="008E4475"/>
    <w:rsid w:val="008E5415"/>
    <w:rsid w:val="008F0C4C"/>
    <w:rsid w:val="008F1EF3"/>
    <w:rsid w:val="008F2B04"/>
    <w:rsid w:val="008F51BE"/>
    <w:rsid w:val="008F6DCE"/>
    <w:rsid w:val="008F7F30"/>
    <w:rsid w:val="00900F54"/>
    <w:rsid w:val="00902C0E"/>
    <w:rsid w:val="00902E00"/>
    <w:rsid w:val="009037DC"/>
    <w:rsid w:val="009039D9"/>
    <w:rsid w:val="009055BB"/>
    <w:rsid w:val="009062B0"/>
    <w:rsid w:val="00906354"/>
    <w:rsid w:val="00906B29"/>
    <w:rsid w:val="00906E0F"/>
    <w:rsid w:val="0090723B"/>
    <w:rsid w:val="00907BFC"/>
    <w:rsid w:val="009108B4"/>
    <w:rsid w:val="0091096F"/>
    <w:rsid w:val="009111A5"/>
    <w:rsid w:val="009119F0"/>
    <w:rsid w:val="00912C34"/>
    <w:rsid w:val="00913C64"/>
    <w:rsid w:val="00913FE8"/>
    <w:rsid w:val="0091565E"/>
    <w:rsid w:val="00915E1E"/>
    <w:rsid w:val="0092032A"/>
    <w:rsid w:val="00920B31"/>
    <w:rsid w:val="00921510"/>
    <w:rsid w:val="00924032"/>
    <w:rsid w:val="00925CF3"/>
    <w:rsid w:val="00925D6E"/>
    <w:rsid w:val="009300D6"/>
    <w:rsid w:val="009303A2"/>
    <w:rsid w:val="009304EA"/>
    <w:rsid w:val="009329DC"/>
    <w:rsid w:val="0093494B"/>
    <w:rsid w:val="009375A3"/>
    <w:rsid w:val="00937D42"/>
    <w:rsid w:val="009427B9"/>
    <w:rsid w:val="00942CB4"/>
    <w:rsid w:val="00942DDE"/>
    <w:rsid w:val="009432A5"/>
    <w:rsid w:val="00944248"/>
    <w:rsid w:val="00945AB5"/>
    <w:rsid w:val="00945EFE"/>
    <w:rsid w:val="009464F0"/>
    <w:rsid w:val="009506AC"/>
    <w:rsid w:val="00950BB3"/>
    <w:rsid w:val="00950D71"/>
    <w:rsid w:val="00951417"/>
    <w:rsid w:val="0095151B"/>
    <w:rsid w:val="00952705"/>
    <w:rsid w:val="009533E7"/>
    <w:rsid w:val="00953455"/>
    <w:rsid w:val="0095498F"/>
    <w:rsid w:val="009562A4"/>
    <w:rsid w:val="009571B1"/>
    <w:rsid w:val="0096028B"/>
    <w:rsid w:val="009618D0"/>
    <w:rsid w:val="009625F7"/>
    <w:rsid w:val="00963F22"/>
    <w:rsid w:val="00966A01"/>
    <w:rsid w:val="0096749B"/>
    <w:rsid w:val="00967622"/>
    <w:rsid w:val="009678BD"/>
    <w:rsid w:val="00970305"/>
    <w:rsid w:val="00970FD5"/>
    <w:rsid w:val="009713D5"/>
    <w:rsid w:val="009715AE"/>
    <w:rsid w:val="00972886"/>
    <w:rsid w:val="00973FB1"/>
    <w:rsid w:val="00974D5A"/>
    <w:rsid w:val="009765E1"/>
    <w:rsid w:val="00977E98"/>
    <w:rsid w:val="00980AF1"/>
    <w:rsid w:val="00981411"/>
    <w:rsid w:val="00983D92"/>
    <w:rsid w:val="009854D9"/>
    <w:rsid w:val="00985A55"/>
    <w:rsid w:val="00985E80"/>
    <w:rsid w:val="00987041"/>
    <w:rsid w:val="00987C03"/>
    <w:rsid w:val="00990B56"/>
    <w:rsid w:val="009912E4"/>
    <w:rsid w:val="00991650"/>
    <w:rsid w:val="009916A3"/>
    <w:rsid w:val="0099310B"/>
    <w:rsid w:val="009A0C3A"/>
    <w:rsid w:val="009A207C"/>
    <w:rsid w:val="009A296B"/>
    <w:rsid w:val="009A40F0"/>
    <w:rsid w:val="009A5B97"/>
    <w:rsid w:val="009B1140"/>
    <w:rsid w:val="009B330A"/>
    <w:rsid w:val="009B5803"/>
    <w:rsid w:val="009B7370"/>
    <w:rsid w:val="009B7ABA"/>
    <w:rsid w:val="009C133A"/>
    <w:rsid w:val="009C1390"/>
    <w:rsid w:val="009C1BEF"/>
    <w:rsid w:val="009C3EA1"/>
    <w:rsid w:val="009C45E4"/>
    <w:rsid w:val="009C49F1"/>
    <w:rsid w:val="009C53FB"/>
    <w:rsid w:val="009C63B3"/>
    <w:rsid w:val="009C63CB"/>
    <w:rsid w:val="009C67CD"/>
    <w:rsid w:val="009C779B"/>
    <w:rsid w:val="009D1040"/>
    <w:rsid w:val="009D12B0"/>
    <w:rsid w:val="009D2206"/>
    <w:rsid w:val="009D240B"/>
    <w:rsid w:val="009D5F0D"/>
    <w:rsid w:val="009E1572"/>
    <w:rsid w:val="009E4270"/>
    <w:rsid w:val="009E44B3"/>
    <w:rsid w:val="009E4C07"/>
    <w:rsid w:val="009F0778"/>
    <w:rsid w:val="009F1BD8"/>
    <w:rsid w:val="009F2E6B"/>
    <w:rsid w:val="009F3EF1"/>
    <w:rsid w:val="009F436B"/>
    <w:rsid w:val="009F4805"/>
    <w:rsid w:val="009F4B47"/>
    <w:rsid w:val="009F5397"/>
    <w:rsid w:val="009F6340"/>
    <w:rsid w:val="009F66F0"/>
    <w:rsid w:val="00A0067A"/>
    <w:rsid w:val="00A01700"/>
    <w:rsid w:val="00A02BC4"/>
    <w:rsid w:val="00A11558"/>
    <w:rsid w:val="00A116FD"/>
    <w:rsid w:val="00A118A3"/>
    <w:rsid w:val="00A11AA6"/>
    <w:rsid w:val="00A1287C"/>
    <w:rsid w:val="00A1328F"/>
    <w:rsid w:val="00A13F15"/>
    <w:rsid w:val="00A14B6D"/>
    <w:rsid w:val="00A153BC"/>
    <w:rsid w:val="00A15ECD"/>
    <w:rsid w:val="00A20B71"/>
    <w:rsid w:val="00A249B2"/>
    <w:rsid w:val="00A251B1"/>
    <w:rsid w:val="00A265B1"/>
    <w:rsid w:val="00A277DC"/>
    <w:rsid w:val="00A27B66"/>
    <w:rsid w:val="00A31396"/>
    <w:rsid w:val="00A313C3"/>
    <w:rsid w:val="00A3181A"/>
    <w:rsid w:val="00A32552"/>
    <w:rsid w:val="00A32E7B"/>
    <w:rsid w:val="00A32EFB"/>
    <w:rsid w:val="00A32F54"/>
    <w:rsid w:val="00A33D39"/>
    <w:rsid w:val="00A347F0"/>
    <w:rsid w:val="00A36DF5"/>
    <w:rsid w:val="00A36F6D"/>
    <w:rsid w:val="00A37DE1"/>
    <w:rsid w:val="00A41308"/>
    <w:rsid w:val="00A41346"/>
    <w:rsid w:val="00A43B1E"/>
    <w:rsid w:val="00A52FAF"/>
    <w:rsid w:val="00A54B6B"/>
    <w:rsid w:val="00A60F29"/>
    <w:rsid w:val="00A613EA"/>
    <w:rsid w:val="00A619D5"/>
    <w:rsid w:val="00A63829"/>
    <w:rsid w:val="00A6406D"/>
    <w:rsid w:val="00A647A7"/>
    <w:rsid w:val="00A67584"/>
    <w:rsid w:val="00A7080B"/>
    <w:rsid w:val="00A70DF4"/>
    <w:rsid w:val="00A72D22"/>
    <w:rsid w:val="00A73E09"/>
    <w:rsid w:val="00A73E35"/>
    <w:rsid w:val="00A746E5"/>
    <w:rsid w:val="00A74946"/>
    <w:rsid w:val="00A80341"/>
    <w:rsid w:val="00A81389"/>
    <w:rsid w:val="00A83B5A"/>
    <w:rsid w:val="00A944D4"/>
    <w:rsid w:val="00A94817"/>
    <w:rsid w:val="00A94F05"/>
    <w:rsid w:val="00A95B08"/>
    <w:rsid w:val="00A9691C"/>
    <w:rsid w:val="00A96E89"/>
    <w:rsid w:val="00AA03AD"/>
    <w:rsid w:val="00AA2424"/>
    <w:rsid w:val="00AA2E84"/>
    <w:rsid w:val="00AA3C76"/>
    <w:rsid w:val="00AA4F9D"/>
    <w:rsid w:val="00AA502B"/>
    <w:rsid w:val="00AA5250"/>
    <w:rsid w:val="00AA5FE1"/>
    <w:rsid w:val="00AA6219"/>
    <w:rsid w:val="00AB128E"/>
    <w:rsid w:val="00AB2494"/>
    <w:rsid w:val="00AB43C5"/>
    <w:rsid w:val="00AB5402"/>
    <w:rsid w:val="00AB650C"/>
    <w:rsid w:val="00AB7360"/>
    <w:rsid w:val="00AC2AB5"/>
    <w:rsid w:val="00AC3357"/>
    <w:rsid w:val="00AC34C9"/>
    <w:rsid w:val="00AC3B78"/>
    <w:rsid w:val="00AC4128"/>
    <w:rsid w:val="00AC4499"/>
    <w:rsid w:val="00AC5AF4"/>
    <w:rsid w:val="00AC5FC4"/>
    <w:rsid w:val="00AC6A1C"/>
    <w:rsid w:val="00AC6A80"/>
    <w:rsid w:val="00AC6F1C"/>
    <w:rsid w:val="00AC79CE"/>
    <w:rsid w:val="00AD0632"/>
    <w:rsid w:val="00AD12DB"/>
    <w:rsid w:val="00AD15B8"/>
    <w:rsid w:val="00AD1CA0"/>
    <w:rsid w:val="00AD24E3"/>
    <w:rsid w:val="00AD2587"/>
    <w:rsid w:val="00AD292F"/>
    <w:rsid w:val="00AD2A1A"/>
    <w:rsid w:val="00AD2CA3"/>
    <w:rsid w:val="00AD3B78"/>
    <w:rsid w:val="00AD5D39"/>
    <w:rsid w:val="00AD61E5"/>
    <w:rsid w:val="00AD6B8D"/>
    <w:rsid w:val="00AE175D"/>
    <w:rsid w:val="00AE4200"/>
    <w:rsid w:val="00AE4AE1"/>
    <w:rsid w:val="00AE6A68"/>
    <w:rsid w:val="00AE77EC"/>
    <w:rsid w:val="00AF09B0"/>
    <w:rsid w:val="00AF2AC7"/>
    <w:rsid w:val="00AF2BA5"/>
    <w:rsid w:val="00AF5F87"/>
    <w:rsid w:val="00AF6891"/>
    <w:rsid w:val="00AF7484"/>
    <w:rsid w:val="00AF7B32"/>
    <w:rsid w:val="00B00781"/>
    <w:rsid w:val="00B010A5"/>
    <w:rsid w:val="00B02D02"/>
    <w:rsid w:val="00B035AD"/>
    <w:rsid w:val="00B044DD"/>
    <w:rsid w:val="00B045AC"/>
    <w:rsid w:val="00B05B46"/>
    <w:rsid w:val="00B06C23"/>
    <w:rsid w:val="00B07AE1"/>
    <w:rsid w:val="00B10A69"/>
    <w:rsid w:val="00B10CCA"/>
    <w:rsid w:val="00B111B7"/>
    <w:rsid w:val="00B155B2"/>
    <w:rsid w:val="00B1626A"/>
    <w:rsid w:val="00B1727A"/>
    <w:rsid w:val="00B17660"/>
    <w:rsid w:val="00B17AC8"/>
    <w:rsid w:val="00B17DBF"/>
    <w:rsid w:val="00B2251D"/>
    <w:rsid w:val="00B22FE2"/>
    <w:rsid w:val="00B2379B"/>
    <w:rsid w:val="00B23EC9"/>
    <w:rsid w:val="00B23F9A"/>
    <w:rsid w:val="00B2421B"/>
    <w:rsid w:val="00B24989"/>
    <w:rsid w:val="00B26435"/>
    <w:rsid w:val="00B268C9"/>
    <w:rsid w:val="00B278F1"/>
    <w:rsid w:val="00B31A3D"/>
    <w:rsid w:val="00B32566"/>
    <w:rsid w:val="00B3335E"/>
    <w:rsid w:val="00B334E2"/>
    <w:rsid w:val="00B355BB"/>
    <w:rsid w:val="00B365D4"/>
    <w:rsid w:val="00B368F2"/>
    <w:rsid w:val="00B37861"/>
    <w:rsid w:val="00B4188E"/>
    <w:rsid w:val="00B432C3"/>
    <w:rsid w:val="00B4378B"/>
    <w:rsid w:val="00B50D41"/>
    <w:rsid w:val="00B52177"/>
    <w:rsid w:val="00B5312C"/>
    <w:rsid w:val="00B53F44"/>
    <w:rsid w:val="00B54384"/>
    <w:rsid w:val="00B562AC"/>
    <w:rsid w:val="00B57019"/>
    <w:rsid w:val="00B5717B"/>
    <w:rsid w:val="00B57D2F"/>
    <w:rsid w:val="00B609BA"/>
    <w:rsid w:val="00B60B40"/>
    <w:rsid w:val="00B60ED5"/>
    <w:rsid w:val="00B64708"/>
    <w:rsid w:val="00B6485B"/>
    <w:rsid w:val="00B6529C"/>
    <w:rsid w:val="00B65A88"/>
    <w:rsid w:val="00B65F0F"/>
    <w:rsid w:val="00B666CB"/>
    <w:rsid w:val="00B66708"/>
    <w:rsid w:val="00B70A58"/>
    <w:rsid w:val="00B74AF4"/>
    <w:rsid w:val="00B74B69"/>
    <w:rsid w:val="00B75CD8"/>
    <w:rsid w:val="00B77308"/>
    <w:rsid w:val="00B80B84"/>
    <w:rsid w:val="00B80D96"/>
    <w:rsid w:val="00B82984"/>
    <w:rsid w:val="00B82B3E"/>
    <w:rsid w:val="00B83857"/>
    <w:rsid w:val="00B84280"/>
    <w:rsid w:val="00B84D39"/>
    <w:rsid w:val="00B865AE"/>
    <w:rsid w:val="00B8676A"/>
    <w:rsid w:val="00B86833"/>
    <w:rsid w:val="00B87563"/>
    <w:rsid w:val="00B90174"/>
    <w:rsid w:val="00B90DE2"/>
    <w:rsid w:val="00B91FF8"/>
    <w:rsid w:val="00B96358"/>
    <w:rsid w:val="00BA01E8"/>
    <w:rsid w:val="00BA2D56"/>
    <w:rsid w:val="00BA3ED4"/>
    <w:rsid w:val="00BA50BB"/>
    <w:rsid w:val="00BA5B57"/>
    <w:rsid w:val="00BA69B2"/>
    <w:rsid w:val="00BA6CA7"/>
    <w:rsid w:val="00BA7490"/>
    <w:rsid w:val="00BA750E"/>
    <w:rsid w:val="00BA7F54"/>
    <w:rsid w:val="00BB14A6"/>
    <w:rsid w:val="00BB40CB"/>
    <w:rsid w:val="00BB45AE"/>
    <w:rsid w:val="00BB47ED"/>
    <w:rsid w:val="00BB65DA"/>
    <w:rsid w:val="00BB7455"/>
    <w:rsid w:val="00BB7473"/>
    <w:rsid w:val="00BB7930"/>
    <w:rsid w:val="00BC178A"/>
    <w:rsid w:val="00BC21B8"/>
    <w:rsid w:val="00BC3AC3"/>
    <w:rsid w:val="00BC3AE3"/>
    <w:rsid w:val="00BC4DA4"/>
    <w:rsid w:val="00BC6ECF"/>
    <w:rsid w:val="00BD20A9"/>
    <w:rsid w:val="00BD4687"/>
    <w:rsid w:val="00BE01CF"/>
    <w:rsid w:val="00BE1266"/>
    <w:rsid w:val="00BE12FA"/>
    <w:rsid w:val="00BE4479"/>
    <w:rsid w:val="00BE50D7"/>
    <w:rsid w:val="00BE66DE"/>
    <w:rsid w:val="00BE7767"/>
    <w:rsid w:val="00BE783F"/>
    <w:rsid w:val="00BF0BC5"/>
    <w:rsid w:val="00BF0E31"/>
    <w:rsid w:val="00BF1922"/>
    <w:rsid w:val="00BF208A"/>
    <w:rsid w:val="00BF21EE"/>
    <w:rsid w:val="00BF24DD"/>
    <w:rsid w:val="00BF345C"/>
    <w:rsid w:val="00BF3C10"/>
    <w:rsid w:val="00BF40C7"/>
    <w:rsid w:val="00BF5524"/>
    <w:rsid w:val="00C014D3"/>
    <w:rsid w:val="00C05F29"/>
    <w:rsid w:val="00C06754"/>
    <w:rsid w:val="00C06F62"/>
    <w:rsid w:val="00C11D95"/>
    <w:rsid w:val="00C127E9"/>
    <w:rsid w:val="00C12949"/>
    <w:rsid w:val="00C1447D"/>
    <w:rsid w:val="00C14774"/>
    <w:rsid w:val="00C157C5"/>
    <w:rsid w:val="00C160B1"/>
    <w:rsid w:val="00C16A59"/>
    <w:rsid w:val="00C16F37"/>
    <w:rsid w:val="00C1775F"/>
    <w:rsid w:val="00C2184C"/>
    <w:rsid w:val="00C243D9"/>
    <w:rsid w:val="00C24CD9"/>
    <w:rsid w:val="00C25DC9"/>
    <w:rsid w:val="00C26067"/>
    <w:rsid w:val="00C26276"/>
    <w:rsid w:val="00C277B0"/>
    <w:rsid w:val="00C27916"/>
    <w:rsid w:val="00C323F3"/>
    <w:rsid w:val="00C33120"/>
    <w:rsid w:val="00C369F0"/>
    <w:rsid w:val="00C377CE"/>
    <w:rsid w:val="00C37F17"/>
    <w:rsid w:val="00C40B9C"/>
    <w:rsid w:val="00C42424"/>
    <w:rsid w:val="00C440FC"/>
    <w:rsid w:val="00C44396"/>
    <w:rsid w:val="00C4458D"/>
    <w:rsid w:val="00C45C8A"/>
    <w:rsid w:val="00C476D8"/>
    <w:rsid w:val="00C50605"/>
    <w:rsid w:val="00C519AC"/>
    <w:rsid w:val="00C5286E"/>
    <w:rsid w:val="00C53700"/>
    <w:rsid w:val="00C5463A"/>
    <w:rsid w:val="00C54AF8"/>
    <w:rsid w:val="00C55A98"/>
    <w:rsid w:val="00C56520"/>
    <w:rsid w:val="00C567E5"/>
    <w:rsid w:val="00C56952"/>
    <w:rsid w:val="00C5732F"/>
    <w:rsid w:val="00C57CAB"/>
    <w:rsid w:val="00C6038F"/>
    <w:rsid w:val="00C6094A"/>
    <w:rsid w:val="00C6216A"/>
    <w:rsid w:val="00C62ADC"/>
    <w:rsid w:val="00C62EDB"/>
    <w:rsid w:val="00C63B82"/>
    <w:rsid w:val="00C64DB9"/>
    <w:rsid w:val="00C65018"/>
    <w:rsid w:val="00C708E4"/>
    <w:rsid w:val="00C75369"/>
    <w:rsid w:val="00C80D9B"/>
    <w:rsid w:val="00C84175"/>
    <w:rsid w:val="00C85388"/>
    <w:rsid w:val="00C8579F"/>
    <w:rsid w:val="00C87395"/>
    <w:rsid w:val="00C911DF"/>
    <w:rsid w:val="00C91430"/>
    <w:rsid w:val="00C93D55"/>
    <w:rsid w:val="00C94101"/>
    <w:rsid w:val="00C94362"/>
    <w:rsid w:val="00C956B7"/>
    <w:rsid w:val="00C96186"/>
    <w:rsid w:val="00C96C9C"/>
    <w:rsid w:val="00C97DC1"/>
    <w:rsid w:val="00CA0D24"/>
    <w:rsid w:val="00CA116F"/>
    <w:rsid w:val="00CA206B"/>
    <w:rsid w:val="00CA49ED"/>
    <w:rsid w:val="00CA4AD5"/>
    <w:rsid w:val="00CA4E82"/>
    <w:rsid w:val="00CA5B96"/>
    <w:rsid w:val="00CA78F6"/>
    <w:rsid w:val="00CA7C3C"/>
    <w:rsid w:val="00CB058A"/>
    <w:rsid w:val="00CB28BD"/>
    <w:rsid w:val="00CB42AD"/>
    <w:rsid w:val="00CB591C"/>
    <w:rsid w:val="00CB6646"/>
    <w:rsid w:val="00CB6F3E"/>
    <w:rsid w:val="00CC0891"/>
    <w:rsid w:val="00CC0D33"/>
    <w:rsid w:val="00CC1E04"/>
    <w:rsid w:val="00CC2F46"/>
    <w:rsid w:val="00CC4B2D"/>
    <w:rsid w:val="00CC5202"/>
    <w:rsid w:val="00CC5A7A"/>
    <w:rsid w:val="00CC6A6A"/>
    <w:rsid w:val="00CC6C22"/>
    <w:rsid w:val="00CD0A2A"/>
    <w:rsid w:val="00CD2669"/>
    <w:rsid w:val="00CD2F66"/>
    <w:rsid w:val="00CD7D13"/>
    <w:rsid w:val="00CE0638"/>
    <w:rsid w:val="00CE1E91"/>
    <w:rsid w:val="00CE3843"/>
    <w:rsid w:val="00CE3ABB"/>
    <w:rsid w:val="00CE409F"/>
    <w:rsid w:val="00CE56B2"/>
    <w:rsid w:val="00CE5FBE"/>
    <w:rsid w:val="00CE68A9"/>
    <w:rsid w:val="00CE69F9"/>
    <w:rsid w:val="00CE7308"/>
    <w:rsid w:val="00CF02EE"/>
    <w:rsid w:val="00CF0660"/>
    <w:rsid w:val="00CF14E2"/>
    <w:rsid w:val="00CF243F"/>
    <w:rsid w:val="00CF31E6"/>
    <w:rsid w:val="00CF5ADB"/>
    <w:rsid w:val="00CF6A5C"/>
    <w:rsid w:val="00D0371A"/>
    <w:rsid w:val="00D05822"/>
    <w:rsid w:val="00D064F2"/>
    <w:rsid w:val="00D06601"/>
    <w:rsid w:val="00D06FDE"/>
    <w:rsid w:val="00D0761A"/>
    <w:rsid w:val="00D10ADD"/>
    <w:rsid w:val="00D10D13"/>
    <w:rsid w:val="00D11DDD"/>
    <w:rsid w:val="00D11F23"/>
    <w:rsid w:val="00D13802"/>
    <w:rsid w:val="00D13BE0"/>
    <w:rsid w:val="00D14FAE"/>
    <w:rsid w:val="00D15E60"/>
    <w:rsid w:val="00D16F6C"/>
    <w:rsid w:val="00D17907"/>
    <w:rsid w:val="00D20089"/>
    <w:rsid w:val="00D20956"/>
    <w:rsid w:val="00D213C4"/>
    <w:rsid w:val="00D22C20"/>
    <w:rsid w:val="00D230F3"/>
    <w:rsid w:val="00D232ED"/>
    <w:rsid w:val="00D23BC2"/>
    <w:rsid w:val="00D259C4"/>
    <w:rsid w:val="00D25B0D"/>
    <w:rsid w:val="00D27035"/>
    <w:rsid w:val="00D30A6D"/>
    <w:rsid w:val="00D3148A"/>
    <w:rsid w:val="00D31B22"/>
    <w:rsid w:val="00D32364"/>
    <w:rsid w:val="00D35E4D"/>
    <w:rsid w:val="00D36A7F"/>
    <w:rsid w:val="00D36AC6"/>
    <w:rsid w:val="00D3761B"/>
    <w:rsid w:val="00D4116B"/>
    <w:rsid w:val="00D42323"/>
    <w:rsid w:val="00D430CF"/>
    <w:rsid w:val="00D45F2D"/>
    <w:rsid w:val="00D46069"/>
    <w:rsid w:val="00D46586"/>
    <w:rsid w:val="00D4740D"/>
    <w:rsid w:val="00D50137"/>
    <w:rsid w:val="00D511BD"/>
    <w:rsid w:val="00D53686"/>
    <w:rsid w:val="00D53B5D"/>
    <w:rsid w:val="00D54A87"/>
    <w:rsid w:val="00D552BE"/>
    <w:rsid w:val="00D5625C"/>
    <w:rsid w:val="00D56511"/>
    <w:rsid w:val="00D56DD2"/>
    <w:rsid w:val="00D57C3A"/>
    <w:rsid w:val="00D6087C"/>
    <w:rsid w:val="00D61C93"/>
    <w:rsid w:val="00D67195"/>
    <w:rsid w:val="00D67481"/>
    <w:rsid w:val="00D709BE"/>
    <w:rsid w:val="00D726A7"/>
    <w:rsid w:val="00D73B9F"/>
    <w:rsid w:val="00D7472A"/>
    <w:rsid w:val="00D74B7A"/>
    <w:rsid w:val="00D76F1D"/>
    <w:rsid w:val="00D77B2B"/>
    <w:rsid w:val="00D800C1"/>
    <w:rsid w:val="00D81781"/>
    <w:rsid w:val="00D81C7C"/>
    <w:rsid w:val="00D81F88"/>
    <w:rsid w:val="00D820D0"/>
    <w:rsid w:val="00D82968"/>
    <w:rsid w:val="00D832AD"/>
    <w:rsid w:val="00D83FE9"/>
    <w:rsid w:val="00D85B9B"/>
    <w:rsid w:val="00D86133"/>
    <w:rsid w:val="00D86410"/>
    <w:rsid w:val="00D86E77"/>
    <w:rsid w:val="00D90EB8"/>
    <w:rsid w:val="00D90FA0"/>
    <w:rsid w:val="00D960BE"/>
    <w:rsid w:val="00D97643"/>
    <w:rsid w:val="00D977ED"/>
    <w:rsid w:val="00D97E79"/>
    <w:rsid w:val="00DA0444"/>
    <w:rsid w:val="00DA0479"/>
    <w:rsid w:val="00DA0A50"/>
    <w:rsid w:val="00DA13AB"/>
    <w:rsid w:val="00DA1722"/>
    <w:rsid w:val="00DA28D1"/>
    <w:rsid w:val="00DA2C29"/>
    <w:rsid w:val="00DA40D8"/>
    <w:rsid w:val="00DA58A0"/>
    <w:rsid w:val="00DA7B47"/>
    <w:rsid w:val="00DB1579"/>
    <w:rsid w:val="00DB3AD8"/>
    <w:rsid w:val="00DB3C43"/>
    <w:rsid w:val="00DB4E81"/>
    <w:rsid w:val="00DB7DC5"/>
    <w:rsid w:val="00DC0A23"/>
    <w:rsid w:val="00DC1436"/>
    <w:rsid w:val="00DC1F6A"/>
    <w:rsid w:val="00DC335F"/>
    <w:rsid w:val="00DC34F6"/>
    <w:rsid w:val="00DC44BF"/>
    <w:rsid w:val="00DC454F"/>
    <w:rsid w:val="00DC488E"/>
    <w:rsid w:val="00DC4FB0"/>
    <w:rsid w:val="00DC73C8"/>
    <w:rsid w:val="00DD0372"/>
    <w:rsid w:val="00DD2954"/>
    <w:rsid w:val="00DD2A7E"/>
    <w:rsid w:val="00DD33DA"/>
    <w:rsid w:val="00DD3B00"/>
    <w:rsid w:val="00DD4C63"/>
    <w:rsid w:val="00DE0DF9"/>
    <w:rsid w:val="00DE1B98"/>
    <w:rsid w:val="00DE24F1"/>
    <w:rsid w:val="00DE2DF3"/>
    <w:rsid w:val="00DE381F"/>
    <w:rsid w:val="00DE3D26"/>
    <w:rsid w:val="00DE4D16"/>
    <w:rsid w:val="00DE7B5F"/>
    <w:rsid w:val="00DF04B4"/>
    <w:rsid w:val="00DF1A40"/>
    <w:rsid w:val="00DF3DB1"/>
    <w:rsid w:val="00DF40CF"/>
    <w:rsid w:val="00DF42AD"/>
    <w:rsid w:val="00DF6490"/>
    <w:rsid w:val="00DF7389"/>
    <w:rsid w:val="00DF7474"/>
    <w:rsid w:val="00DF7CBB"/>
    <w:rsid w:val="00DF7D99"/>
    <w:rsid w:val="00E013FB"/>
    <w:rsid w:val="00E02198"/>
    <w:rsid w:val="00E03C17"/>
    <w:rsid w:val="00E049D3"/>
    <w:rsid w:val="00E0504A"/>
    <w:rsid w:val="00E055B1"/>
    <w:rsid w:val="00E06E8A"/>
    <w:rsid w:val="00E101B2"/>
    <w:rsid w:val="00E12A67"/>
    <w:rsid w:val="00E14D00"/>
    <w:rsid w:val="00E158E5"/>
    <w:rsid w:val="00E161A1"/>
    <w:rsid w:val="00E16F21"/>
    <w:rsid w:val="00E173D4"/>
    <w:rsid w:val="00E17CF6"/>
    <w:rsid w:val="00E243C7"/>
    <w:rsid w:val="00E245CC"/>
    <w:rsid w:val="00E24833"/>
    <w:rsid w:val="00E25162"/>
    <w:rsid w:val="00E259BF"/>
    <w:rsid w:val="00E259F3"/>
    <w:rsid w:val="00E26DFA"/>
    <w:rsid w:val="00E32907"/>
    <w:rsid w:val="00E32A90"/>
    <w:rsid w:val="00E339F3"/>
    <w:rsid w:val="00E3400F"/>
    <w:rsid w:val="00E34BA9"/>
    <w:rsid w:val="00E35820"/>
    <w:rsid w:val="00E36661"/>
    <w:rsid w:val="00E37DC1"/>
    <w:rsid w:val="00E422CA"/>
    <w:rsid w:val="00E43223"/>
    <w:rsid w:val="00E43720"/>
    <w:rsid w:val="00E44047"/>
    <w:rsid w:val="00E45FB4"/>
    <w:rsid w:val="00E4680E"/>
    <w:rsid w:val="00E501F3"/>
    <w:rsid w:val="00E50232"/>
    <w:rsid w:val="00E512D1"/>
    <w:rsid w:val="00E512FA"/>
    <w:rsid w:val="00E51949"/>
    <w:rsid w:val="00E525C0"/>
    <w:rsid w:val="00E5360C"/>
    <w:rsid w:val="00E5391D"/>
    <w:rsid w:val="00E55EE0"/>
    <w:rsid w:val="00E575A1"/>
    <w:rsid w:val="00E60AFA"/>
    <w:rsid w:val="00E60D85"/>
    <w:rsid w:val="00E60F37"/>
    <w:rsid w:val="00E614B0"/>
    <w:rsid w:val="00E6161F"/>
    <w:rsid w:val="00E61A54"/>
    <w:rsid w:val="00E63116"/>
    <w:rsid w:val="00E63651"/>
    <w:rsid w:val="00E64CD6"/>
    <w:rsid w:val="00E64E30"/>
    <w:rsid w:val="00E7064D"/>
    <w:rsid w:val="00E70F59"/>
    <w:rsid w:val="00E71E2B"/>
    <w:rsid w:val="00E73377"/>
    <w:rsid w:val="00E7624B"/>
    <w:rsid w:val="00E76848"/>
    <w:rsid w:val="00E82C5D"/>
    <w:rsid w:val="00E8306C"/>
    <w:rsid w:val="00E836BF"/>
    <w:rsid w:val="00E8383A"/>
    <w:rsid w:val="00E83A8F"/>
    <w:rsid w:val="00E85C10"/>
    <w:rsid w:val="00E863D5"/>
    <w:rsid w:val="00E874E9"/>
    <w:rsid w:val="00E87AA7"/>
    <w:rsid w:val="00E87B40"/>
    <w:rsid w:val="00E91710"/>
    <w:rsid w:val="00E937FF"/>
    <w:rsid w:val="00E946F8"/>
    <w:rsid w:val="00E94F40"/>
    <w:rsid w:val="00E962AA"/>
    <w:rsid w:val="00EA03E9"/>
    <w:rsid w:val="00EA1269"/>
    <w:rsid w:val="00EA27BB"/>
    <w:rsid w:val="00EA3CB8"/>
    <w:rsid w:val="00EA494F"/>
    <w:rsid w:val="00EA5C4A"/>
    <w:rsid w:val="00EA6B53"/>
    <w:rsid w:val="00EA79D3"/>
    <w:rsid w:val="00EB22DF"/>
    <w:rsid w:val="00EB32DE"/>
    <w:rsid w:val="00EB48E8"/>
    <w:rsid w:val="00EB6570"/>
    <w:rsid w:val="00EB6937"/>
    <w:rsid w:val="00EC03E7"/>
    <w:rsid w:val="00EC1087"/>
    <w:rsid w:val="00EC202E"/>
    <w:rsid w:val="00EC3CC2"/>
    <w:rsid w:val="00EC3FD0"/>
    <w:rsid w:val="00EC484D"/>
    <w:rsid w:val="00EC48B6"/>
    <w:rsid w:val="00EC6685"/>
    <w:rsid w:val="00EC698E"/>
    <w:rsid w:val="00EC7BF9"/>
    <w:rsid w:val="00ED0203"/>
    <w:rsid w:val="00ED0D2C"/>
    <w:rsid w:val="00ED660D"/>
    <w:rsid w:val="00EE0B4B"/>
    <w:rsid w:val="00EE1B5A"/>
    <w:rsid w:val="00EE232A"/>
    <w:rsid w:val="00EE2DF0"/>
    <w:rsid w:val="00EE3453"/>
    <w:rsid w:val="00EE7098"/>
    <w:rsid w:val="00EF05A2"/>
    <w:rsid w:val="00EF126B"/>
    <w:rsid w:val="00EF15AB"/>
    <w:rsid w:val="00EF2885"/>
    <w:rsid w:val="00EF3F1B"/>
    <w:rsid w:val="00EF6734"/>
    <w:rsid w:val="00F0104F"/>
    <w:rsid w:val="00F014D1"/>
    <w:rsid w:val="00F017F9"/>
    <w:rsid w:val="00F03C68"/>
    <w:rsid w:val="00F04B7E"/>
    <w:rsid w:val="00F0687C"/>
    <w:rsid w:val="00F068C0"/>
    <w:rsid w:val="00F0690F"/>
    <w:rsid w:val="00F06BEC"/>
    <w:rsid w:val="00F07339"/>
    <w:rsid w:val="00F07F52"/>
    <w:rsid w:val="00F103EE"/>
    <w:rsid w:val="00F111E9"/>
    <w:rsid w:val="00F142F5"/>
    <w:rsid w:val="00F16B74"/>
    <w:rsid w:val="00F16E95"/>
    <w:rsid w:val="00F1743A"/>
    <w:rsid w:val="00F17D70"/>
    <w:rsid w:val="00F236C0"/>
    <w:rsid w:val="00F23E00"/>
    <w:rsid w:val="00F2486B"/>
    <w:rsid w:val="00F25E7B"/>
    <w:rsid w:val="00F266C3"/>
    <w:rsid w:val="00F27C91"/>
    <w:rsid w:val="00F323D2"/>
    <w:rsid w:val="00F32D2F"/>
    <w:rsid w:val="00F35651"/>
    <w:rsid w:val="00F409E2"/>
    <w:rsid w:val="00F450A7"/>
    <w:rsid w:val="00F4634D"/>
    <w:rsid w:val="00F46663"/>
    <w:rsid w:val="00F47959"/>
    <w:rsid w:val="00F501ED"/>
    <w:rsid w:val="00F50FA8"/>
    <w:rsid w:val="00F5113B"/>
    <w:rsid w:val="00F52604"/>
    <w:rsid w:val="00F528DA"/>
    <w:rsid w:val="00F52C83"/>
    <w:rsid w:val="00F54F5F"/>
    <w:rsid w:val="00F5579B"/>
    <w:rsid w:val="00F56172"/>
    <w:rsid w:val="00F576ED"/>
    <w:rsid w:val="00F60B9B"/>
    <w:rsid w:val="00F60CC6"/>
    <w:rsid w:val="00F61988"/>
    <w:rsid w:val="00F61BF6"/>
    <w:rsid w:val="00F62B03"/>
    <w:rsid w:val="00F63972"/>
    <w:rsid w:val="00F6453D"/>
    <w:rsid w:val="00F6665A"/>
    <w:rsid w:val="00F675B4"/>
    <w:rsid w:val="00F678A0"/>
    <w:rsid w:val="00F6798B"/>
    <w:rsid w:val="00F7005E"/>
    <w:rsid w:val="00F70B02"/>
    <w:rsid w:val="00F712F8"/>
    <w:rsid w:val="00F721F9"/>
    <w:rsid w:val="00F7256F"/>
    <w:rsid w:val="00F72A0F"/>
    <w:rsid w:val="00F730CB"/>
    <w:rsid w:val="00F74E15"/>
    <w:rsid w:val="00F80C7F"/>
    <w:rsid w:val="00F810C1"/>
    <w:rsid w:val="00F81169"/>
    <w:rsid w:val="00F8360D"/>
    <w:rsid w:val="00F837F7"/>
    <w:rsid w:val="00F8565C"/>
    <w:rsid w:val="00F86D50"/>
    <w:rsid w:val="00F926C5"/>
    <w:rsid w:val="00F92D0B"/>
    <w:rsid w:val="00F93FF0"/>
    <w:rsid w:val="00F94B24"/>
    <w:rsid w:val="00FA0368"/>
    <w:rsid w:val="00FA03AD"/>
    <w:rsid w:val="00FA1F99"/>
    <w:rsid w:val="00FA3A06"/>
    <w:rsid w:val="00FA4BCA"/>
    <w:rsid w:val="00FA546E"/>
    <w:rsid w:val="00FA5E31"/>
    <w:rsid w:val="00FA62A1"/>
    <w:rsid w:val="00FA7AE9"/>
    <w:rsid w:val="00FB0DAC"/>
    <w:rsid w:val="00FB1794"/>
    <w:rsid w:val="00FB194D"/>
    <w:rsid w:val="00FB1EC7"/>
    <w:rsid w:val="00FB2A8C"/>
    <w:rsid w:val="00FB2ECB"/>
    <w:rsid w:val="00FB3EDB"/>
    <w:rsid w:val="00FB5374"/>
    <w:rsid w:val="00FB5541"/>
    <w:rsid w:val="00FC0598"/>
    <w:rsid w:val="00FC061D"/>
    <w:rsid w:val="00FC2127"/>
    <w:rsid w:val="00FC3A8B"/>
    <w:rsid w:val="00FC4044"/>
    <w:rsid w:val="00FC4A66"/>
    <w:rsid w:val="00FC4C19"/>
    <w:rsid w:val="00FC4DFF"/>
    <w:rsid w:val="00FC5FD8"/>
    <w:rsid w:val="00FC66C9"/>
    <w:rsid w:val="00FD0F5C"/>
    <w:rsid w:val="00FD1054"/>
    <w:rsid w:val="00FD193E"/>
    <w:rsid w:val="00FD1D72"/>
    <w:rsid w:val="00FD1E2F"/>
    <w:rsid w:val="00FD3576"/>
    <w:rsid w:val="00FD389D"/>
    <w:rsid w:val="00FD78BD"/>
    <w:rsid w:val="00FE0644"/>
    <w:rsid w:val="00FE0FC1"/>
    <w:rsid w:val="00FE133E"/>
    <w:rsid w:val="00FE32BC"/>
    <w:rsid w:val="00FE3B7B"/>
    <w:rsid w:val="00FE5BB4"/>
    <w:rsid w:val="00FE7376"/>
    <w:rsid w:val="00FF0029"/>
    <w:rsid w:val="00FF023A"/>
    <w:rsid w:val="00FF04B5"/>
    <w:rsid w:val="00FF2ED4"/>
    <w:rsid w:val="00FF3358"/>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link w:val="ListParagraphChar"/>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character" w:customStyle="1" w:styleId="ListParagraphChar">
    <w:name w:val="List Paragraph Char"/>
    <w:link w:val="ListParagraph"/>
    <w:uiPriority w:val="34"/>
    <w:qFormat/>
    <w:locked/>
    <w:rsid w:val="001956A5"/>
    <w:rPr>
      <w:rFonts w:ascii="Times New Roman" w:eastAsia="Malgun Gothic" w:hAnsi="Times New Roman" w:cs="Times New Roman"/>
      <w:sz w:val="20"/>
      <w:szCs w:val="20"/>
      <w:lang w:val="en-GB"/>
    </w:rPr>
  </w:style>
  <w:style w:type="paragraph" w:customStyle="1" w:styleId="tah0">
    <w:name w:val="tah"/>
    <w:basedOn w:val="Normal"/>
    <w:rsid w:val="005535E5"/>
    <w:pPr>
      <w:spacing w:before="100" w:beforeAutospacing="1" w:after="100" w:afterAutospacing="1"/>
    </w:pPr>
    <w:rPr>
      <w:rFonts w:eastAsia="Times New Roman"/>
      <w:sz w:val="24"/>
      <w:szCs w:val="24"/>
      <w:lang w:val="en-US"/>
    </w:rPr>
  </w:style>
  <w:style w:type="paragraph" w:customStyle="1" w:styleId="tal0">
    <w:name w:val="tal"/>
    <w:basedOn w:val="Normal"/>
    <w:rsid w:val="005535E5"/>
    <w:pPr>
      <w:spacing w:before="100" w:beforeAutospacing="1" w:after="100" w:afterAutospacing="1"/>
    </w:pPr>
    <w:rPr>
      <w:rFonts w:eastAsia="Times New Roman"/>
      <w:sz w:val="24"/>
      <w:szCs w:val="24"/>
      <w:lang w:val="en-US"/>
    </w:rPr>
  </w:style>
  <w:style w:type="paragraph" w:customStyle="1" w:styleId="tac0">
    <w:name w:val="tac"/>
    <w:basedOn w:val="Normal"/>
    <w:rsid w:val="005535E5"/>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04484">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16479876">
      <w:bodyDiv w:val="1"/>
      <w:marLeft w:val="0"/>
      <w:marRight w:val="0"/>
      <w:marTop w:val="0"/>
      <w:marBottom w:val="0"/>
      <w:divBdr>
        <w:top w:val="none" w:sz="0" w:space="0" w:color="auto"/>
        <w:left w:val="none" w:sz="0" w:space="0" w:color="auto"/>
        <w:bottom w:val="none" w:sz="0" w:space="0" w:color="auto"/>
        <w:right w:val="none" w:sz="0" w:space="0" w:color="auto"/>
      </w:divBdr>
    </w:div>
    <w:div w:id="366221789">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486165693">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27932199">
      <w:bodyDiv w:val="1"/>
      <w:marLeft w:val="0"/>
      <w:marRight w:val="0"/>
      <w:marTop w:val="0"/>
      <w:marBottom w:val="0"/>
      <w:divBdr>
        <w:top w:val="none" w:sz="0" w:space="0" w:color="auto"/>
        <w:left w:val="none" w:sz="0" w:space="0" w:color="auto"/>
        <w:bottom w:val="none" w:sz="0" w:space="0" w:color="auto"/>
        <w:right w:val="none" w:sz="0" w:space="0" w:color="auto"/>
      </w:divBdr>
      <w:divsChild>
        <w:div w:id="379326823">
          <w:marLeft w:val="1800"/>
          <w:marRight w:val="0"/>
          <w:marTop w:val="77"/>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860313531">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79927007">
      <w:bodyDiv w:val="1"/>
      <w:marLeft w:val="0"/>
      <w:marRight w:val="0"/>
      <w:marTop w:val="0"/>
      <w:marBottom w:val="0"/>
      <w:divBdr>
        <w:top w:val="none" w:sz="0" w:space="0" w:color="auto"/>
        <w:left w:val="none" w:sz="0" w:space="0" w:color="auto"/>
        <w:bottom w:val="none" w:sz="0" w:space="0" w:color="auto"/>
        <w:right w:val="none" w:sz="0" w:space="0" w:color="auto"/>
      </w:divBdr>
      <w:divsChild>
        <w:div w:id="710763055">
          <w:marLeft w:val="1166"/>
          <w:marRight w:val="0"/>
          <w:marTop w:val="77"/>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261333473">
      <w:bodyDiv w:val="1"/>
      <w:marLeft w:val="0"/>
      <w:marRight w:val="0"/>
      <w:marTop w:val="0"/>
      <w:marBottom w:val="0"/>
      <w:divBdr>
        <w:top w:val="none" w:sz="0" w:space="0" w:color="auto"/>
        <w:left w:val="none" w:sz="0" w:space="0" w:color="auto"/>
        <w:bottom w:val="none" w:sz="0" w:space="0" w:color="auto"/>
        <w:right w:val="none" w:sz="0" w:space="0" w:color="auto"/>
      </w:divBdr>
      <w:divsChild>
        <w:div w:id="1143810466">
          <w:marLeft w:val="1166"/>
          <w:marRight w:val="0"/>
          <w:marTop w:val="77"/>
          <w:marBottom w:val="0"/>
          <w:divBdr>
            <w:top w:val="none" w:sz="0" w:space="0" w:color="auto"/>
            <w:left w:val="none" w:sz="0" w:space="0" w:color="auto"/>
            <w:bottom w:val="none" w:sz="0" w:space="0" w:color="auto"/>
            <w:right w:val="none" w:sz="0" w:space="0" w:color="auto"/>
          </w:divBdr>
        </w:div>
      </w:divsChild>
    </w:div>
    <w:div w:id="1318612510">
      <w:bodyDiv w:val="1"/>
      <w:marLeft w:val="0"/>
      <w:marRight w:val="0"/>
      <w:marTop w:val="0"/>
      <w:marBottom w:val="0"/>
      <w:divBdr>
        <w:top w:val="none" w:sz="0" w:space="0" w:color="auto"/>
        <w:left w:val="none" w:sz="0" w:space="0" w:color="auto"/>
        <w:bottom w:val="none" w:sz="0" w:space="0" w:color="auto"/>
        <w:right w:val="none" w:sz="0" w:space="0" w:color="auto"/>
      </w:divBdr>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5439138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68900198">
      <w:bodyDiv w:val="1"/>
      <w:marLeft w:val="0"/>
      <w:marRight w:val="0"/>
      <w:marTop w:val="0"/>
      <w:marBottom w:val="0"/>
      <w:divBdr>
        <w:top w:val="none" w:sz="0" w:space="0" w:color="auto"/>
        <w:left w:val="none" w:sz="0" w:space="0" w:color="auto"/>
        <w:bottom w:val="none" w:sz="0" w:space="0" w:color="auto"/>
        <w:right w:val="none" w:sz="0" w:space="0" w:color="auto"/>
      </w:divBdr>
    </w:div>
    <w:div w:id="1720936035">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91323935">
      <w:bodyDiv w:val="1"/>
      <w:marLeft w:val="0"/>
      <w:marRight w:val="0"/>
      <w:marTop w:val="0"/>
      <w:marBottom w:val="0"/>
      <w:divBdr>
        <w:top w:val="none" w:sz="0" w:space="0" w:color="auto"/>
        <w:left w:val="none" w:sz="0" w:space="0" w:color="auto"/>
        <w:bottom w:val="none" w:sz="0" w:space="0" w:color="auto"/>
        <w:right w:val="none" w:sz="0" w:space="0" w:color="auto"/>
      </w:divBdr>
      <w:divsChild>
        <w:div w:id="218514396">
          <w:marLeft w:val="1166"/>
          <w:marRight w:val="0"/>
          <w:marTop w:val="86"/>
          <w:marBottom w:val="0"/>
          <w:divBdr>
            <w:top w:val="none" w:sz="0" w:space="0" w:color="auto"/>
            <w:left w:val="none" w:sz="0" w:space="0" w:color="auto"/>
            <w:bottom w:val="none" w:sz="0" w:space="0" w:color="auto"/>
            <w:right w:val="none" w:sz="0" w:space="0" w:color="auto"/>
          </w:divBdr>
        </w:div>
        <w:div w:id="1695421875">
          <w:marLeft w:val="1166"/>
          <w:marRight w:val="0"/>
          <w:marTop w:val="86"/>
          <w:marBottom w:val="0"/>
          <w:divBdr>
            <w:top w:val="none" w:sz="0" w:space="0" w:color="auto"/>
            <w:left w:val="none" w:sz="0" w:space="0" w:color="auto"/>
            <w:bottom w:val="none" w:sz="0" w:space="0" w:color="auto"/>
            <w:right w:val="none" w:sz="0" w:space="0" w:color="auto"/>
          </w:divBdr>
        </w:div>
        <w:div w:id="840462382">
          <w:marLeft w:val="1166"/>
          <w:marRight w:val="0"/>
          <w:marTop w:val="86"/>
          <w:marBottom w:val="0"/>
          <w:divBdr>
            <w:top w:val="none" w:sz="0" w:space="0" w:color="auto"/>
            <w:left w:val="none" w:sz="0" w:space="0" w:color="auto"/>
            <w:bottom w:val="none" w:sz="0" w:space="0" w:color="auto"/>
            <w:right w:val="none" w:sz="0" w:space="0" w:color="auto"/>
          </w:divBdr>
        </w:div>
        <w:div w:id="1096681425">
          <w:marLeft w:val="1800"/>
          <w:marRight w:val="0"/>
          <w:marTop w:val="77"/>
          <w:marBottom w:val="0"/>
          <w:divBdr>
            <w:top w:val="none" w:sz="0" w:space="0" w:color="auto"/>
            <w:left w:val="none" w:sz="0" w:space="0" w:color="auto"/>
            <w:bottom w:val="none" w:sz="0" w:space="0" w:color="auto"/>
            <w:right w:val="none" w:sz="0" w:space="0" w:color="auto"/>
          </w:divBdr>
        </w:div>
        <w:div w:id="150601960">
          <w:marLeft w:val="1800"/>
          <w:marRight w:val="0"/>
          <w:marTop w:val="77"/>
          <w:marBottom w:val="0"/>
          <w:divBdr>
            <w:top w:val="none" w:sz="0" w:space="0" w:color="auto"/>
            <w:left w:val="none" w:sz="0" w:space="0" w:color="auto"/>
            <w:bottom w:val="none" w:sz="0" w:space="0" w:color="auto"/>
            <w:right w:val="none" w:sz="0" w:space="0" w:color="auto"/>
          </w:divBdr>
        </w:div>
        <w:div w:id="1993290506">
          <w:marLeft w:val="1800"/>
          <w:marRight w:val="0"/>
          <w:marTop w:val="77"/>
          <w:marBottom w:val="0"/>
          <w:divBdr>
            <w:top w:val="none" w:sz="0" w:space="0" w:color="auto"/>
            <w:left w:val="none" w:sz="0" w:space="0" w:color="auto"/>
            <w:bottom w:val="none" w:sz="0" w:space="0" w:color="auto"/>
            <w:right w:val="none" w:sz="0" w:space="0" w:color="auto"/>
          </w:divBdr>
        </w:div>
        <w:div w:id="1532456177">
          <w:marLeft w:val="1166"/>
          <w:marRight w:val="0"/>
          <w:marTop w:val="86"/>
          <w:marBottom w:val="0"/>
          <w:divBdr>
            <w:top w:val="none" w:sz="0" w:space="0" w:color="auto"/>
            <w:left w:val="none" w:sz="0" w:space="0" w:color="auto"/>
            <w:bottom w:val="none" w:sz="0" w:space="0" w:color="auto"/>
            <w:right w:val="none" w:sz="0" w:space="0" w:color="auto"/>
          </w:divBdr>
        </w:div>
      </w:divsChild>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964</TotalTime>
  <Pages>6</Pages>
  <Words>1852</Words>
  <Characters>10558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693</cp:revision>
  <dcterms:created xsi:type="dcterms:W3CDTF">2021-08-05T07:20:00Z</dcterms:created>
  <dcterms:modified xsi:type="dcterms:W3CDTF">2023-05-12T00:51:00Z</dcterms:modified>
</cp:coreProperties>
</file>